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35A9" w14:textId="77777777" w:rsidR="00404E7A" w:rsidRPr="00404E7A" w:rsidRDefault="00404E7A" w:rsidP="00404E7A">
      <w:pPr>
        <w:rPr>
          <w:b/>
          <w:color w:val="230859" w:themeColor="text2"/>
          <w:spacing w:val="-20"/>
          <w:sz w:val="50"/>
          <w:szCs w:val="50"/>
        </w:rPr>
      </w:pPr>
      <w:r w:rsidRPr="00404E7A">
        <w:rPr>
          <w:b/>
          <w:color w:val="230859" w:themeColor="text2"/>
          <w:spacing w:val="-20"/>
          <w:sz w:val="50"/>
          <w:szCs w:val="50"/>
        </w:rPr>
        <w:t>Bangladesh Medical Education Baseline Research Grant</w:t>
      </w:r>
    </w:p>
    <w:p w14:paraId="19B631A5" w14:textId="77777777" w:rsidR="003140C7" w:rsidRPr="00AC741A" w:rsidRDefault="001B2E1D" w:rsidP="001F2942">
      <w:r w:rsidRPr="00AC741A">
        <w:rPr>
          <w:noProof/>
          <w:color w:val="FFFFFF" w:themeColor="background1"/>
        </w:rPr>
        <mc:AlternateContent>
          <mc:Choice Requires="wps">
            <w:drawing>
              <wp:anchor distT="0" distB="0" distL="114300" distR="114300" simplePos="0" relativeHeight="251661311" behindDoc="0" locked="0" layoutInCell="1" allowOverlap="0" wp14:anchorId="5B432B2B" wp14:editId="3ADC0A3B">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706F180C"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7D9B53E4" w14:textId="4208D7F5" w:rsidR="003140C7" w:rsidRPr="00AC741A" w:rsidRDefault="00AC741A" w:rsidP="007E4D04">
      <w:pPr>
        <w:pStyle w:val="CoverTitle"/>
        <w:rPr>
          <w:color w:val="002060"/>
          <w:sz w:val="52"/>
        </w:rPr>
      </w:pPr>
      <w:r w:rsidRPr="00AC741A">
        <w:rPr>
          <w:color w:val="002060"/>
          <w:sz w:val="52"/>
        </w:rPr>
        <w:t>Concept Note</w:t>
      </w:r>
    </w:p>
    <w:p w14:paraId="31DA8FF3" w14:textId="6CAB0F99" w:rsidR="003147B4" w:rsidRPr="00AC741A" w:rsidRDefault="00AC741A" w:rsidP="003147B4">
      <w:pPr>
        <w:pStyle w:val="HeadingB"/>
      </w:pPr>
      <w:r w:rsidRPr="00AC741A">
        <w:rPr>
          <w:lang w:val="en-US"/>
        </w:rPr>
        <w:t>Overview of British Council</w:t>
      </w:r>
    </w:p>
    <w:p w14:paraId="13131D6C" w14:textId="1873B4C0" w:rsidR="0024436A" w:rsidRPr="00247AAD" w:rsidRDefault="0024436A" w:rsidP="00247AAD">
      <w:pPr>
        <w:pStyle w:val="CommentText"/>
        <w:spacing w:line="276" w:lineRule="auto"/>
        <w:rPr>
          <w:rFonts w:asciiTheme="minorHAnsi" w:hAnsiTheme="minorHAnsi" w:cstheme="minorHAnsi"/>
          <w:sz w:val="24"/>
          <w:szCs w:val="24"/>
        </w:rPr>
      </w:pPr>
      <w:r w:rsidRPr="00247AAD">
        <w:rPr>
          <w:rFonts w:asciiTheme="minorHAnsi" w:hAnsiTheme="minorHAnsi" w:cstheme="minorHAnsi"/>
          <w:sz w:val="24"/>
          <w:szCs w:val="24"/>
        </w:rPr>
        <w:t>The British Council has set out strategy for development to 2025 which focuses on build</w:t>
      </w:r>
      <w:r w:rsidR="00404E7A">
        <w:rPr>
          <w:rFonts w:asciiTheme="minorHAnsi" w:hAnsiTheme="minorHAnsi" w:cstheme="minorHAnsi"/>
          <w:sz w:val="24"/>
          <w:szCs w:val="24"/>
        </w:rPr>
        <w:t>ing</w:t>
      </w:r>
      <w:r w:rsidRPr="00247AAD">
        <w:rPr>
          <w:rFonts w:asciiTheme="minorHAnsi" w:hAnsiTheme="minorHAnsi" w:cstheme="minorHAnsi"/>
          <w:sz w:val="24"/>
          <w:szCs w:val="24"/>
        </w:rPr>
        <w:t xml:space="preserve"> connections, understanding and trust between people in the UK and other countries through arts and culture, education and the English language.</w:t>
      </w:r>
    </w:p>
    <w:p w14:paraId="5F5C6CE8" w14:textId="29E9D822" w:rsidR="0024436A" w:rsidRPr="0024436A" w:rsidRDefault="0024436A" w:rsidP="00247AAD">
      <w:pPr>
        <w:spacing w:after="100" w:afterAutospacing="1"/>
        <w:rPr>
          <w:rFonts w:cs="Arial"/>
        </w:rPr>
      </w:pPr>
      <w:r w:rsidRPr="0024436A">
        <w:rPr>
          <w:rFonts w:cs="Arial"/>
        </w:rPr>
        <w:t xml:space="preserve">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w:t>
      </w:r>
      <w:proofErr w:type="gramStart"/>
      <w:r w:rsidRPr="0024436A">
        <w:rPr>
          <w:rFonts w:cs="Arial"/>
        </w:rPr>
        <w:t>body</w:t>
      </w:r>
      <w:r w:rsidR="00404E7A">
        <w:rPr>
          <w:rFonts w:cs="Arial"/>
        </w:rPr>
        <w:t>.</w:t>
      </w:r>
      <w:proofErr w:type="gramEnd"/>
    </w:p>
    <w:p w14:paraId="77CAF4B7" w14:textId="6A60B358" w:rsidR="0024436A" w:rsidRPr="0024436A" w:rsidRDefault="0024436A" w:rsidP="00247AAD">
      <w:pPr>
        <w:spacing w:after="100" w:afterAutospacing="1"/>
        <w:rPr>
          <w:rFonts w:cs="Arial"/>
        </w:rPr>
      </w:pPr>
      <w:r w:rsidRPr="0024436A">
        <w:rPr>
          <w:rFonts w:cs="Arial"/>
        </w:rPr>
        <w:t xml:space="preserve">The British Council employs over 10,500 staff worldwide. It has </w:t>
      </w:r>
      <w:proofErr w:type="gramStart"/>
      <w:r w:rsidRPr="0024436A">
        <w:rPr>
          <w:rFonts w:cs="Arial"/>
        </w:rPr>
        <w:t>its</w:t>
      </w:r>
      <w:proofErr w:type="gramEnd"/>
      <w:r w:rsidRPr="0024436A">
        <w:rPr>
          <w:rFonts w:cs="Arial"/>
        </w:rPr>
        <w:t xml:space="preserve"> headquarters in the UK, with offices in London, Manchester, Belfast, Cardiff and Edinburgh. Further information can be viewed at </w:t>
      </w:r>
      <w:hyperlink r:id="rId11" w:history="1">
        <w:r w:rsidRPr="0024436A">
          <w:rPr>
            <w:rStyle w:val="Hyperlink"/>
            <w:rFonts w:cs="Arial"/>
          </w:rPr>
          <w:t>www.britishcouncil.org</w:t>
        </w:r>
      </w:hyperlink>
      <w:r w:rsidRPr="0024436A">
        <w:rPr>
          <w:rFonts w:cs="Arial"/>
        </w:rPr>
        <w:t>.</w:t>
      </w:r>
    </w:p>
    <w:p w14:paraId="0495A22E" w14:textId="60224C24" w:rsidR="00AC741A" w:rsidRPr="00AC741A" w:rsidRDefault="00AC741A" w:rsidP="00AC741A">
      <w:pPr>
        <w:pStyle w:val="HeadingB"/>
      </w:pPr>
      <w:r w:rsidRPr="00AC741A">
        <w:rPr>
          <w:lang w:val="en-US"/>
        </w:rPr>
        <w:t xml:space="preserve">Introduction and Background of the Project </w:t>
      </w:r>
    </w:p>
    <w:p w14:paraId="3271098E" w14:textId="77777777" w:rsidR="00404E7A" w:rsidRPr="00404E7A" w:rsidRDefault="00404E7A" w:rsidP="00404E7A">
      <w:pPr>
        <w:pStyle w:val="HeadingB"/>
        <w:rPr>
          <w:rFonts w:eastAsiaTheme="minorEastAsia" w:cstheme="minorBidi"/>
          <w:b w:val="0"/>
          <w:bCs/>
          <w:color w:val="auto"/>
          <w:sz w:val="24"/>
        </w:rPr>
      </w:pPr>
      <w:r w:rsidRPr="00404E7A">
        <w:rPr>
          <w:rFonts w:eastAsiaTheme="minorEastAsia" w:cstheme="minorBidi"/>
          <w:b w:val="0"/>
          <w:bCs/>
          <w:color w:val="auto"/>
          <w:sz w:val="24"/>
        </w:rPr>
        <w:t>There is a government drive in Bangladesh to professionalise and upskill their health sector and there is an opportunity for the UK to support this agenda.  There may be other local priority areas for Bangladesh, where the quality and expertise of the UK higher education, research and skills sectors could develop valuable and mutually beneficial partnerships.</w:t>
      </w:r>
    </w:p>
    <w:p w14:paraId="35885305" w14:textId="77777777" w:rsidR="00404E7A" w:rsidRPr="00404E7A" w:rsidRDefault="00404E7A" w:rsidP="00404E7A">
      <w:pPr>
        <w:pStyle w:val="HeadingB"/>
        <w:rPr>
          <w:rFonts w:eastAsiaTheme="minorEastAsia" w:cstheme="minorBidi"/>
          <w:b w:val="0"/>
          <w:bCs/>
          <w:color w:val="auto"/>
          <w:sz w:val="24"/>
        </w:rPr>
      </w:pPr>
      <w:r w:rsidRPr="00404E7A">
        <w:rPr>
          <w:rFonts w:eastAsiaTheme="minorEastAsia" w:cstheme="minorBidi"/>
          <w:b w:val="0"/>
          <w:bCs/>
          <w:color w:val="auto"/>
          <w:sz w:val="24"/>
        </w:rPr>
        <w:t xml:space="preserve">A recent review of the role of tertiary education on </w:t>
      </w:r>
      <w:proofErr w:type="gramStart"/>
      <w:r w:rsidRPr="00404E7A">
        <w:rPr>
          <w:rFonts w:eastAsiaTheme="minorEastAsia" w:cstheme="minorBidi"/>
          <w:b w:val="0"/>
          <w:bCs/>
          <w:color w:val="auto"/>
          <w:sz w:val="24"/>
        </w:rPr>
        <w:t>development  revealed</w:t>
      </w:r>
      <w:proofErr w:type="gramEnd"/>
      <w:r w:rsidRPr="00404E7A">
        <w:rPr>
          <w:rFonts w:eastAsiaTheme="minorEastAsia" w:cstheme="minorBidi"/>
          <w:b w:val="0"/>
          <w:bCs/>
          <w:color w:val="auto"/>
          <w:sz w:val="24"/>
        </w:rPr>
        <w:t xml:space="preserve"> the potential of tertiary education to support development in low and lower middle-income countries through programmes which develop skills and knowledge but highlighted the importance of aligning such programmes with the local contextual needs.  Tertiary education is not always fulfilling its potential to support sustainable development due to a misalignment with local context and needs and a lack of coherent collaboration between relevant actors including education institutions, industry, local and national government, and international partners.</w:t>
      </w:r>
    </w:p>
    <w:p w14:paraId="49E5B6C4" w14:textId="77777777" w:rsidR="00404E7A" w:rsidRPr="00404E7A" w:rsidRDefault="00404E7A" w:rsidP="00404E7A">
      <w:pPr>
        <w:pStyle w:val="HeadingB"/>
        <w:rPr>
          <w:rFonts w:eastAsiaTheme="minorEastAsia" w:cstheme="minorBidi"/>
          <w:b w:val="0"/>
          <w:bCs/>
          <w:color w:val="auto"/>
          <w:sz w:val="24"/>
        </w:rPr>
      </w:pPr>
      <w:r w:rsidRPr="00404E7A">
        <w:rPr>
          <w:rFonts w:eastAsiaTheme="minorEastAsia" w:cstheme="minorBidi"/>
          <w:b w:val="0"/>
          <w:bCs/>
          <w:color w:val="auto"/>
          <w:sz w:val="24"/>
        </w:rPr>
        <w:lastRenderedPageBreak/>
        <w:t xml:space="preserve">The British Council is developing a new global higher education programme from April 2021 which will use mutually beneficial partnerships and connections between the UK and countries globally </w:t>
      </w:r>
      <w:proofErr w:type="gramStart"/>
      <w:r w:rsidRPr="00404E7A">
        <w:rPr>
          <w:rFonts w:eastAsiaTheme="minorEastAsia" w:cstheme="minorBidi"/>
          <w:b w:val="0"/>
          <w:bCs/>
          <w:color w:val="auto"/>
          <w:sz w:val="24"/>
        </w:rPr>
        <w:t>to:</w:t>
      </w:r>
      <w:proofErr w:type="gramEnd"/>
      <w:r w:rsidRPr="00404E7A">
        <w:rPr>
          <w:rFonts w:eastAsiaTheme="minorEastAsia" w:cstheme="minorBidi"/>
          <w:b w:val="0"/>
          <w:bCs/>
          <w:color w:val="auto"/>
          <w:sz w:val="24"/>
        </w:rPr>
        <w:t xml:space="preserve"> enable research; internationalise HE institutions; strengthen systems; enhance student outcomes; and increase inclusion.  These all contribute to stronger, more inclusive and globally connected tertiary education systems, which support economic and social growth, with the UK seen as a trusted partner and provider.</w:t>
      </w:r>
    </w:p>
    <w:p w14:paraId="672B8AB8" w14:textId="77777777" w:rsidR="00404E7A" w:rsidRPr="00404E7A" w:rsidRDefault="00404E7A" w:rsidP="00404E7A">
      <w:pPr>
        <w:pStyle w:val="HeadingB"/>
        <w:rPr>
          <w:rFonts w:eastAsiaTheme="minorEastAsia" w:cstheme="minorBidi"/>
          <w:b w:val="0"/>
          <w:bCs/>
          <w:color w:val="auto"/>
          <w:sz w:val="24"/>
        </w:rPr>
      </w:pPr>
      <w:r w:rsidRPr="00404E7A">
        <w:rPr>
          <w:rFonts w:eastAsiaTheme="minorEastAsia" w:cstheme="minorBidi"/>
          <w:b w:val="0"/>
          <w:bCs/>
          <w:color w:val="auto"/>
          <w:sz w:val="24"/>
        </w:rPr>
        <w:t>The Bangladesh Government is interested in strengthening and improving the standard of medical education in Bangladesh. Three key drivers are 1. Improving the quality of health training programmes to improve the quality and effectiveness of health professionals, 2. Building the numbers of health professionals (particularly nursing staff) trained to meet WHO guidelines on workforce density and UHC delivery, and 3. In future to be able provide qualified health professionals (particularly nursing staff) to other countries interested in recruiting health personnel.</w:t>
      </w:r>
    </w:p>
    <w:p w14:paraId="6F2B9E83" w14:textId="77777777" w:rsidR="00404E7A" w:rsidRDefault="00404E7A" w:rsidP="00404E7A">
      <w:pPr>
        <w:pStyle w:val="HeadingB"/>
        <w:rPr>
          <w:rFonts w:eastAsiaTheme="minorEastAsia" w:cstheme="minorBidi"/>
          <w:b w:val="0"/>
          <w:bCs/>
          <w:color w:val="auto"/>
          <w:sz w:val="24"/>
        </w:rPr>
      </w:pPr>
      <w:r w:rsidRPr="00404E7A">
        <w:rPr>
          <w:rFonts w:eastAsiaTheme="minorEastAsia" w:cstheme="minorBidi"/>
          <w:b w:val="0"/>
          <w:bCs/>
          <w:color w:val="auto"/>
          <w:sz w:val="24"/>
        </w:rPr>
        <w:t>The UK government is interested in assisting Bangladesh to meet these goals and potentially recruiting Bangladeshi health professionals once local demand has been satisfied.</w:t>
      </w:r>
    </w:p>
    <w:p w14:paraId="7B059711" w14:textId="1673AFCA" w:rsidR="00402592" w:rsidRPr="00AC741A" w:rsidRDefault="00402592" w:rsidP="00404E7A">
      <w:pPr>
        <w:pStyle w:val="HeadingB"/>
      </w:pPr>
      <w:r>
        <w:rPr>
          <w:lang w:val="en-US"/>
        </w:rPr>
        <w:t xml:space="preserve">About </w:t>
      </w:r>
      <w:r w:rsidRPr="00AC741A">
        <w:rPr>
          <w:lang w:val="en-US"/>
        </w:rPr>
        <w:t xml:space="preserve">the Project </w:t>
      </w:r>
    </w:p>
    <w:p w14:paraId="071400D3" w14:textId="488BA6FF" w:rsidR="00AC741A" w:rsidRPr="00AC741A" w:rsidRDefault="00AC741A" w:rsidP="00AC741A">
      <w:pPr>
        <w:pStyle w:val="HeadingB"/>
        <w:rPr>
          <w:sz w:val="24"/>
        </w:rPr>
      </w:pPr>
      <w:r>
        <w:rPr>
          <w:sz w:val="24"/>
          <w:lang w:val="en-US"/>
        </w:rPr>
        <w:t>P</w:t>
      </w:r>
      <w:r w:rsidRPr="00AC741A">
        <w:rPr>
          <w:sz w:val="24"/>
          <w:lang w:val="en-US"/>
        </w:rPr>
        <w:t xml:space="preserve">roject Objectives </w:t>
      </w:r>
    </w:p>
    <w:p w14:paraId="6C32EC72" w14:textId="50032038" w:rsidR="00AC741A" w:rsidRDefault="00AC741A" w:rsidP="00AC741A">
      <w:pPr>
        <w:spacing w:after="0"/>
        <w:jc w:val="both"/>
        <w:rPr>
          <w:bCs/>
        </w:rPr>
      </w:pPr>
      <w:r w:rsidRPr="00AC741A">
        <w:rPr>
          <w:bCs/>
        </w:rPr>
        <w:t xml:space="preserve">The Project </w:t>
      </w:r>
      <w:r>
        <w:rPr>
          <w:bCs/>
        </w:rPr>
        <w:t>seeks to produce research report that establishes the</w:t>
      </w:r>
      <w:r w:rsidRPr="00AC741A">
        <w:rPr>
          <w:bCs/>
        </w:rPr>
        <w:t>:</w:t>
      </w:r>
    </w:p>
    <w:p w14:paraId="1A47CF80" w14:textId="77777777" w:rsidR="00AC741A" w:rsidRPr="00AC741A" w:rsidRDefault="00AC741A" w:rsidP="00AC741A">
      <w:pPr>
        <w:spacing w:after="0"/>
        <w:jc w:val="both"/>
        <w:rPr>
          <w:bCs/>
        </w:rPr>
      </w:pPr>
    </w:p>
    <w:p w14:paraId="78A5B4B1" w14:textId="7020D88E" w:rsidR="00AC741A" w:rsidRPr="00AC741A" w:rsidRDefault="00AC741A" w:rsidP="005C3D23">
      <w:pPr>
        <w:pStyle w:val="ListParagraph"/>
        <w:numPr>
          <w:ilvl w:val="0"/>
          <w:numId w:val="12"/>
        </w:numPr>
        <w:spacing w:after="0"/>
        <w:contextualSpacing w:val="0"/>
        <w:jc w:val="both"/>
        <w:rPr>
          <w:bCs/>
        </w:rPr>
      </w:pPr>
      <w:r>
        <w:rPr>
          <w:bCs/>
        </w:rPr>
        <w:t>Q</w:t>
      </w:r>
      <w:r w:rsidRPr="00AC741A">
        <w:rPr>
          <w:bCs/>
        </w:rPr>
        <w:t>uantity and quality of partnerships and exchanges between UK and</w:t>
      </w:r>
      <w:r w:rsidR="00404E7A">
        <w:rPr>
          <w:bCs/>
        </w:rPr>
        <w:t xml:space="preserve"> Bangladesh and other countries</w:t>
      </w:r>
      <w:r w:rsidRPr="00AC741A">
        <w:rPr>
          <w:bCs/>
        </w:rPr>
        <w:t xml:space="preserve"> in the </w:t>
      </w:r>
      <w:r w:rsidR="00404E7A">
        <w:rPr>
          <w:bCs/>
        </w:rPr>
        <w:t>medical</w:t>
      </w:r>
      <w:r w:rsidRPr="00AC741A">
        <w:rPr>
          <w:bCs/>
        </w:rPr>
        <w:t xml:space="preserve"> education sector, particularly those taking place at the following levels:</w:t>
      </w:r>
    </w:p>
    <w:p w14:paraId="3080FE14" w14:textId="77777777" w:rsidR="00AC741A" w:rsidRPr="00AC741A" w:rsidRDefault="00AC741A" w:rsidP="005C3D23">
      <w:pPr>
        <w:pStyle w:val="ListParagraph"/>
        <w:numPr>
          <w:ilvl w:val="0"/>
          <w:numId w:val="9"/>
        </w:numPr>
        <w:spacing w:after="0"/>
        <w:ind w:left="1710" w:hanging="720"/>
        <w:contextualSpacing w:val="0"/>
        <w:jc w:val="both"/>
        <w:rPr>
          <w:bCs/>
        </w:rPr>
      </w:pPr>
      <w:r w:rsidRPr="00AC741A">
        <w:rPr>
          <w:bCs/>
        </w:rPr>
        <w:t>government-to-government including:</w:t>
      </w:r>
    </w:p>
    <w:p w14:paraId="5FA01F2E" w14:textId="77777777" w:rsidR="00AC741A" w:rsidRPr="00AC741A" w:rsidRDefault="00AC741A" w:rsidP="005C3D23">
      <w:pPr>
        <w:pStyle w:val="ListParagraph"/>
        <w:numPr>
          <w:ilvl w:val="0"/>
          <w:numId w:val="6"/>
        </w:numPr>
        <w:spacing w:after="0"/>
        <w:ind w:left="1800"/>
        <w:contextualSpacing w:val="0"/>
        <w:jc w:val="both"/>
        <w:rPr>
          <w:bCs/>
        </w:rPr>
      </w:pPr>
      <w:r w:rsidRPr="00AC741A">
        <w:rPr>
          <w:bCs/>
        </w:rPr>
        <w:t>bilateral agreements</w:t>
      </w:r>
    </w:p>
    <w:p w14:paraId="1CD9005B" w14:textId="77777777" w:rsidR="00AC741A" w:rsidRPr="00AC741A" w:rsidRDefault="00AC741A" w:rsidP="005C3D23">
      <w:pPr>
        <w:pStyle w:val="ListParagraph"/>
        <w:numPr>
          <w:ilvl w:val="0"/>
          <w:numId w:val="6"/>
        </w:numPr>
        <w:spacing w:after="0"/>
        <w:ind w:left="1800"/>
        <w:contextualSpacing w:val="0"/>
        <w:jc w:val="both"/>
        <w:rPr>
          <w:bCs/>
        </w:rPr>
      </w:pPr>
      <w:r w:rsidRPr="00AC741A">
        <w:rPr>
          <w:bCs/>
        </w:rPr>
        <w:t>bilateral MOUs</w:t>
      </w:r>
    </w:p>
    <w:p w14:paraId="4BEF51F7" w14:textId="77777777" w:rsidR="00AC741A" w:rsidRPr="00AC741A" w:rsidRDefault="00AC741A" w:rsidP="005C3D23">
      <w:pPr>
        <w:pStyle w:val="ListParagraph"/>
        <w:numPr>
          <w:ilvl w:val="0"/>
          <w:numId w:val="6"/>
        </w:numPr>
        <w:spacing w:after="0"/>
        <w:ind w:left="1800"/>
        <w:contextualSpacing w:val="0"/>
        <w:jc w:val="both"/>
        <w:rPr>
          <w:bCs/>
        </w:rPr>
      </w:pPr>
      <w:r w:rsidRPr="00AC741A">
        <w:rPr>
          <w:bCs/>
        </w:rPr>
        <w:t>engagement with and membership to regional bodies and supranational agencies</w:t>
      </w:r>
    </w:p>
    <w:p w14:paraId="37283F55" w14:textId="77777777" w:rsidR="00AC741A" w:rsidRPr="00AC741A" w:rsidRDefault="00AC741A" w:rsidP="005C3D23">
      <w:pPr>
        <w:pStyle w:val="ListParagraph"/>
        <w:numPr>
          <w:ilvl w:val="0"/>
          <w:numId w:val="6"/>
        </w:numPr>
        <w:spacing w:after="0"/>
        <w:ind w:left="1800"/>
        <w:contextualSpacing w:val="0"/>
        <w:jc w:val="both"/>
        <w:rPr>
          <w:bCs/>
        </w:rPr>
      </w:pPr>
      <w:r w:rsidRPr="00AC741A">
        <w:rPr>
          <w:bCs/>
        </w:rPr>
        <w:t xml:space="preserve">other trilateral or multilateral cooperation agreements </w:t>
      </w:r>
    </w:p>
    <w:p w14:paraId="1E12681D" w14:textId="77777777" w:rsidR="00AC741A" w:rsidRPr="00AC741A" w:rsidRDefault="00AC741A" w:rsidP="00AC741A">
      <w:pPr>
        <w:pStyle w:val="ListParagraph"/>
        <w:numPr>
          <w:ilvl w:val="0"/>
          <w:numId w:val="0"/>
        </w:numPr>
        <w:spacing w:after="0"/>
        <w:ind w:left="1800"/>
        <w:jc w:val="both"/>
        <w:rPr>
          <w:bCs/>
        </w:rPr>
      </w:pPr>
    </w:p>
    <w:p w14:paraId="4330D7E8" w14:textId="77777777" w:rsidR="00AC741A" w:rsidRPr="00AC741A" w:rsidRDefault="00AC741A" w:rsidP="005C3D23">
      <w:pPr>
        <w:pStyle w:val="ListParagraph"/>
        <w:numPr>
          <w:ilvl w:val="0"/>
          <w:numId w:val="9"/>
        </w:numPr>
        <w:spacing w:after="0"/>
        <w:ind w:left="1440" w:hanging="450"/>
        <w:contextualSpacing w:val="0"/>
        <w:jc w:val="both"/>
        <w:rPr>
          <w:bCs/>
        </w:rPr>
      </w:pPr>
      <w:r w:rsidRPr="00AC741A">
        <w:rPr>
          <w:bCs/>
        </w:rPr>
        <w:t>institution-to-institution including consortia or cooperative arrangements between group of universities/colleges/institutions on the following:</w:t>
      </w:r>
    </w:p>
    <w:p w14:paraId="43D7C209" w14:textId="5465864A" w:rsidR="00AC741A" w:rsidRPr="00AC741A" w:rsidRDefault="00AC741A" w:rsidP="005C3D23">
      <w:pPr>
        <w:pStyle w:val="ListParagraph"/>
        <w:numPr>
          <w:ilvl w:val="0"/>
          <w:numId w:val="7"/>
        </w:numPr>
        <w:spacing w:after="0"/>
        <w:ind w:left="1800"/>
        <w:contextualSpacing w:val="0"/>
        <w:jc w:val="both"/>
        <w:rPr>
          <w:bCs/>
        </w:rPr>
      </w:pPr>
      <w:r w:rsidRPr="00AC741A">
        <w:rPr>
          <w:bCs/>
        </w:rPr>
        <w:t>teaching partnerships</w:t>
      </w:r>
      <w:r w:rsidR="00223AEB">
        <w:rPr>
          <w:bCs/>
        </w:rPr>
        <w:t>/</w:t>
      </w:r>
      <w:r w:rsidRPr="00AC741A">
        <w:rPr>
          <w:bCs/>
        </w:rPr>
        <w:t>transnational education</w:t>
      </w:r>
    </w:p>
    <w:p w14:paraId="473BBC8B" w14:textId="197A1735" w:rsidR="00AC741A" w:rsidRPr="00AC741A" w:rsidRDefault="00AC741A" w:rsidP="005C3D23">
      <w:pPr>
        <w:pStyle w:val="ListParagraph"/>
        <w:numPr>
          <w:ilvl w:val="0"/>
          <w:numId w:val="7"/>
        </w:numPr>
        <w:spacing w:after="0"/>
        <w:ind w:left="1800"/>
        <w:contextualSpacing w:val="0"/>
        <w:jc w:val="both"/>
        <w:rPr>
          <w:bCs/>
        </w:rPr>
      </w:pPr>
      <w:r w:rsidRPr="00AC741A">
        <w:rPr>
          <w:bCs/>
        </w:rPr>
        <w:t xml:space="preserve">research </w:t>
      </w:r>
      <w:r w:rsidR="00223AEB">
        <w:rPr>
          <w:bCs/>
        </w:rPr>
        <w:t xml:space="preserve">and innovation </w:t>
      </w:r>
      <w:r w:rsidRPr="00AC741A">
        <w:rPr>
          <w:bCs/>
        </w:rPr>
        <w:t>partnerships and collaborations</w:t>
      </w:r>
    </w:p>
    <w:p w14:paraId="59BD0234" w14:textId="77777777" w:rsidR="00AC741A" w:rsidRPr="00AC741A" w:rsidRDefault="00AC741A" w:rsidP="005C3D23">
      <w:pPr>
        <w:pStyle w:val="ListParagraph"/>
        <w:numPr>
          <w:ilvl w:val="0"/>
          <w:numId w:val="7"/>
        </w:numPr>
        <w:spacing w:after="0"/>
        <w:ind w:left="1800"/>
        <w:contextualSpacing w:val="0"/>
        <w:jc w:val="both"/>
        <w:rPr>
          <w:bCs/>
        </w:rPr>
      </w:pPr>
      <w:r w:rsidRPr="00AC741A">
        <w:rPr>
          <w:bCs/>
        </w:rPr>
        <w:t>staff and academic mobility and exchanges</w:t>
      </w:r>
    </w:p>
    <w:p w14:paraId="430A5956" w14:textId="77777777" w:rsidR="00AC741A" w:rsidRPr="00AC741A" w:rsidRDefault="00AC741A" w:rsidP="005C3D23">
      <w:pPr>
        <w:pStyle w:val="ListParagraph"/>
        <w:numPr>
          <w:ilvl w:val="0"/>
          <w:numId w:val="7"/>
        </w:numPr>
        <w:spacing w:after="0"/>
        <w:ind w:left="1800"/>
        <w:contextualSpacing w:val="0"/>
        <w:jc w:val="both"/>
        <w:rPr>
          <w:bCs/>
        </w:rPr>
      </w:pPr>
      <w:r w:rsidRPr="00AC741A">
        <w:rPr>
          <w:bCs/>
        </w:rPr>
        <w:t>non-academic partnerships</w:t>
      </w:r>
    </w:p>
    <w:p w14:paraId="7F1206EA" w14:textId="77777777" w:rsidR="00AC741A" w:rsidRPr="00AC741A" w:rsidRDefault="00AC741A" w:rsidP="00AC741A">
      <w:pPr>
        <w:pStyle w:val="ListParagraph"/>
        <w:numPr>
          <w:ilvl w:val="0"/>
          <w:numId w:val="0"/>
        </w:numPr>
        <w:spacing w:after="0"/>
        <w:ind w:left="1800"/>
        <w:jc w:val="both"/>
        <w:rPr>
          <w:bCs/>
        </w:rPr>
      </w:pPr>
    </w:p>
    <w:p w14:paraId="71A03491" w14:textId="77777777" w:rsidR="00AC741A" w:rsidRPr="00AC741A" w:rsidRDefault="00AC741A" w:rsidP="005C3D23">
      <w:pPr>
        <w:pStyle w:val="ListParagraph"/>
        <w:numPr>
          <w:ilvl w:val="0"/>
          <w:numId w:val="9"/>
        </w:numPr>
        <w:spacing w:after="0"/>
        <w:ind w:left="1710" w:hanging="720"/>
        <w:contextualSpacing w:val="0"/>
        <w:jc w:val="both"/>
        <w:rPr>
          <w:bCs/>
        </w:rPr>
      </w:pPr>
      <w:r w:rsidRPr="00AC741A">
        <w:rPr>
          <w:bCs/>
        </w:rPr>
        <w:t>individual-to-individual, individual-to-institution linkages including those that resulted from:</w:t>
      </w:r>
    </w:p>
    <w:p w14:paraId="2A0D9EBB" w14:textId="77777777" w:rsidR="00AC741A" w:rsidRPr="00AC741A" w:rsidRDefault="00AC741A" w:rsidP="005C3D23">
      <w:pPr>
        <w:pStyle w:val="ListParagraph"/>
        <w:numPr>
          <w:ilvl w:val="0"/>
          <w:numId w:val="8"/>
        </w:numPr>
        <w:spacing w:after="0"/>
        <w:ind w:left="1800"/>
        <w:contextualSpacing w:val="0"/>
        <w:jc w:val="both"/>
        <w:rPr>
          <w:bCs/>
        </w:rPr>
      </w:pPr>
      <w:r w:rsidRPr="00AC741A">
        <w:rPr>
          <w:bCs/>
        </w:rPr>
        <w:lastRenderedPageBreak/>
        <w:t>UK scholarship programmes</w:t>
      </w:r>
    </w:p>
    <w:p w14:paraId="678F2FBE" w14:textId="78426202" w:rsidR="00AC741A" w:rsidRPr="00AC741A" w:rsidRDefault="00AC741A" w:rsidP="005C3D23">
      <w:pPr>
        <w:pStyle w:val="ListParagraph"/>
        <w:numPr>
          <w:ilvl w:val="0"/>
          <w:numId w:val="8"/>
        </w:numPr>
        <w:spacing w:after="0"/>
        <w:ind w:left="1800"/>
        <w:contextualSpacing w:val="0"/>
        <w:jc w:val="both"/>
        <w:rPr>
          <w:bCs/>
        </w:rPr>
      </w:pPr>
      <w:r w:rsidRPr="00AC741A">
        <w:rPr>
          <w:bCs/>
        </w:rPr>
        <w:t>UK-</w:t>
      </w:r>
      <w:r w:rsidR="00404E7A">
        <w:rPr>
          <w:bCs/>
        </w:rPr>
        <w:t>Bangladesh</w:t>
      </w:r>
      <w:r w:rsidRPr="00AC741A">
        <w:rPr>
          <w:bCs/>
        </w:rPr>
        <w:t xml:space="preserve"> mobility schemes</w:t>
      </w:r>
    </w:p>
    <w:p w14:paraId="7B27749F" w14:textId="77777777" w:rsidR="00AC741A" w:rsidRPr="00AC741A" w:rsidRDefault="00AC741A" w:rsidP="005C3D23">
      <w:pPr>
        <w:pStyle w:val="ListParagraph"/>
        <w:numPr>
          <w:ilvl w:val="0"/>
          <w:numId w:val="8"/>
        </w:numPr>
        <w:spacing w:after="0"/>
        <w:ind w:left="1800"/>
        <w:contextualSpacing w:val="0"/>
        <w:jc w:val="both"/>
        <w:rPr>
          <w:bCs/>
        </w:rPr>
      </w:pPr>
      <w:r w:rsidRPr="00AC741A">
        <w:rPr>
          <w:bCs/>
        </w:rPr>
        <w:t xml:space="preserve">Projects/programmes funded by the UK or British Council </w:t>
      </w:r>
    </w:p>
    <w:p w14:paraId="33B1E77B" w14:textId="77777777" w:rsidR="00AC741A" w:rsidRPr="00AC741A" w:rsidRDefault="00AC741A" w:rsidP="00AC741A">
      <w:pPr>
        <w:pStyle w:val="ListParagraph"/>
        <w:numPr>
          <w:ilvl w:val="0"/>
          <w:numId w:val="0"/>
        </w:numPr>
        <w:spacing w:after="0" w:line="360" w:lineRule="auto"/>
        <w:ind w:left="720"/>
        <w:jc w:val="both"/>
        <w:rPr>
          <w:bCs/>
        </w:rPr>
      </w:pPr>
    </w:p>
    <w:p w14:paraId="5FB6FA16" w14:textId="77777777" w:rsidR="00402592" w:rsidRPr="00DF1F0D" w:rsidRDefault="00402592" w:rsidP="00402592">
      <w:pPr>
        <w:pStyle w:val="ListParagraph"/>
        <w:numPr>
          <w:ilvl w:val="0"/>
          <w:numId w:val="12"/>
        </w:numPr>
        <w:spacing w:after="0" w:line="360" w:lineRule="auto"/>
        <w:contextualSpacing w:val="0"/>
        <w:jc w:val="both"/>
        <w:rPr>
          <w:bCs/>
        </w:rPr>
      </w:pPr>
      <w:r w:rsidRPr="00DF1F0D">
        <w:rPr>
          <w:bCs/>
        </w:rPr>
        <w:t xml:space="preserve">In each type of partnerships above: </w:t>
      </w:r>
    </w:p>
    <w:p w14:paraId="09A510F0" w14:textId="2B50C75E" w:rsidR="00402592" w:rsidRDefault="00402592" w:rsidP="00402592">
      <w:pPr>
        <w:pStyle w:val="ListParagraph"/>
        <w:numPr>
          <w:ilvl w:val="0"/>
          <w:numId w:val="10"/>
        </w:numPr>
        <w:spacing w:after="0"/>
        <w:ind w:left="1440" w:hanging="450"/>
        <w:contextualSpacing w:val="0"/>
        <w:jc w:val="both"/>
        <w:rPr>
          <w:bCs/>
        </w:rPr>
      </w:pPr>
      <w:r w:rsidRPr="00DF1F0D">
        <w:rPr>
          <w:bCs/>
        </w:rPr>
        <w:t>Identify the quantity of existing partnerships and exchanges using desk research and existing database systems</w:t>
      </w:r>
      <w:r w:rsidR="00404E7A">
        <w:rPr>
          <w:bCs/>
        </w:rPr>
        <w:t>.</w:t>
      </w:r>
    </w:p>
    <w:p w14:paraId="1C876CBB" w14:textId="77777777" w:rsidR="00402592" w:rsidRPr="00DF1F0D" w:rsidRDefault="00402592" w:rsidP="00402592">
      <w:pPr>
        <w:pStyle w:val="ListParagraph"/>
        <w:numPr>
          <w:ilvl w:val="0"/>
          <w:numId w:val="0"/>
        </w:numPr>
        <w:spacing w:after="0"/>
        <w:ind w:left="1440"/>
        <w:contextualSpacing w:val="0"/>
        <w:jc w:val="both"/>
        <w:rPr>
          <w:bCs/>
        </w:rPr>
      </w:pPr>
    </w:p>
    <w:p w14:paraId="1262F57D" w14:textId="77777777" w:rsidR="00402592" w:rsidRPr="00DF1F0D" w:rsidRDefault="00402592" w:rsidP="00402592">
      <w:pPr>
        <w:pStyle w:val="ListParagraph"/>
        <w:numPr>
          <w:ilvl w:val="0"/>
          <w:numId w:val="10"/>
        </w:numPr>
        <w:spacing w:after="0"/>
        <w:ind w:left="1440" w:hanging="450"/>
        <w:contextualSpacing w:val="0"/>
        <w:jc w:val="both"/>
        <w:rPr>
          <w:bCs/>
        </w:rPr>
      </w:pPr>
      <w:r w:rsidRPr="00DF1F0D">
        <w:rPr>
          <w:bCs/>
        </w:rPr>
        <w:t>Provide a profile of the partnerships and exchanges in terms of:</w:t>
      </w:r>
    </w:p>
    <w:p w14:paraId="79706EAF" w14:textId="77777777" w:rsidR="00402592" w:rsidRPr="00DF1F0D" w:rsidRDefault="00402592" w:rsidP="00402592">
      <w:pPr>
        <w:pStyle w:val="ListParagraph"/>
        <w:numPr>
          <w:ilvl w:val="0"/>
          <w:numId w:val="11"/>
        </w:numPr>
        <w:spacing w:after="0"/>
        <w:ind w:left="1800"/>
        <w:contextualSpacing w:val="0"/>
        <w:jc w:val="both"/>
        <w:rPr>
          <w:bCs/>
        </w:rPr>
      </w:pPr>
      <w:r w:rsidRPr="00DF1F0D">
        <w:rPr>
          <w:bCs/>
        </w:rPr>
        <w:t>Duration of the partnership/cooperation</w:t>
      </w:r>
    </w:p>
    <w:p w14:paraId="69532B34" w14:textId="77777777" w:rsidR="00402592" w:rsidRPr="00DF1F0D" w:rsidRDefault="00402592" w:rsidP="00402592">
      <w:pPr>
        <w:pStyle w:val="ListParagraph"/>
        <w:numPr>
          <w:ilvl w:val="0"/>
          <w:numId w:val="11"/>
        </w:numPr>
        <w:spacing w:after="0"/>
        <w:ind w:left="1800"/>
        <w:contextualSpacing w:val="0"/>
        <w:jc w:val="both"/>
        <w:rPr>
          <w:bCs/>
        </w:rPr>
      </w:pPr>
      <w:r w:rsidRPr="00DF1F0D">
        <w:rPr>
          <w:bCs/>
        </w:rPr>
        <w:t>Purpose, agenda or themes of the partnerships and how was it formed?</w:t>
      </w:r>
    </w:p>
    <w:p w14:paraId="36AD5F01" w14:textId="77777777" w:rsidR="00402592" w:rsidRPr="00DF1F0D" w:rsidRDefault="00402592" w:rsidP="00402592">
      <w:pPr>
        <w:pStyle w:val="ListParagraph"/>
        <w:numPr>
          <w:ilvl w:val="0"/>
          <w:numId w:val="11"/>
        </w:numPr>
        <w:spacing w:after="0"/>
        <w:ind w:left="1800"/>
        <w:contextualSpacing w:val="0"/>
        <w:jc w:val="both"/>
        <w:rPr>
          <w:bCs/>
        </w:rPr>
      </w:pPr>
      <w:r w:rsidRPr="00DF1F0D">
        <w:rPr>
          <w:bCs/>
        </w:rPr>
        <w:t>What is its funding model?</w:t>
      </w:r>
    </w:p>
    <w:p w14:paraId="34227F88" w14:textId="77777777" w:rsidR="00402592" w:rsidRPr="00DF1F0D" w:rsidRDefault="00402592" w:rsidP="00402592">
      <w:pPr>
        <w:pStyle w:val="ListParagraph"/>
        <w:numPr>
          <w:ilvl w:val="0"/>
          <w:numId w:val="11"/>
        </w:numPr>
        <w:spacing w:after="0"/>
        <w:ind w:left="1800"/>
        <w:contextualSpacing w:val="0"/>
        <w:jc w:val="both"/>
        <w:rPr>
          <w:bCs/>
        </w:rPr>
      </w:pPr>
      <w:r w:rsidRPr="00DF1F0D">
        <w:rPr>
          <w:bCs/>
        </w:rPr>
        <w:t>What are the successes? (e.g. immediate and long-term outcomes) and challenges?</w:t>
      </w:r>
    </w:p>
    <w:p w14:paraId="2A8359E7" w14:textId="300A056A" w:rsidR="00402592" w:rsidRDefault="009A1ADA" w:rsidP="00402592">
      <w:pPr>
        <w:pStyle w:val="ListParagraph"/>
        <w:numPr>
          <w:ilvl w:val="0"/>
          <w:numId w:val="11"/>
        </w:numPr>
        <w:spacing w:after="0"/>
        <w:ind w:left="1800"/>
        <w:contextualSpacing w:val="0"/>
        <w:jc w:val="both"/>
        <w:rPr>
          <w:bCs/>
        </w:rPr>
      </w:pPr>
      <w:r>
        <w:rPr>
          <w:bCs/>
        </w:rPr>
        <w:t>The extent to which the</w:t>
      </w:r>
      <w:r w:rsidR="00305D54">
        <w:rPr>
          <w:bCs/>
        </w:rPr>
        <w:t>y</w:t>
      </w:r>
      <w:r w:rsidR="00402592" w:rsidRPr="00DF1F0D">
        <w:rPr>
          <w:bCs/>
        </w:rPr>
        <w:t xml:space="preserve"> support equity and inclusion in </w:t>
      </w:r>
      <w:r w:rsidR="00404E7A">
        <w:rPr>
          <w:bCs/>
        </w:rPr>
        <w:t>medical</w:t>
      </w:r>
      <w:r w:rsidR="00402592" w:rsidRPr="00DF1F0D">
        <w:rPr>
          <w:bCs/>
        </w:rPr>
        <w:t xml:space="preserve"> education? What are the barriers?</w:t>
      </w:r>
    </w:p>
    <w:p w14:paraId="0B7E87A8" w14:textId="28FF19F5" w:rsidR="006060BD" w:rsidRPr="006060BD" w:rsidRDefault="006060BD" w:rsidP="006060BD">
      <w:pPr>
        <w:pStyle w:val="ListParagraph"/>
        <w:numPr>
          <w:ilvl w:val="0"/>
          <w:numId w:val="11"/>
        </w:numPr>
        <w:spacing w:after="0"/>
        <w:ind w:left="1800"/>
        <w:contextualSpacing w:val="0"/>
        <w:jc w:val="both"/>
        <w:rPr>
          <w:bCs/>
        </w:rPr>
      </w:pPr>
      <w:r>
        <w:rPr>
          <w:bCs/>
        </w:rPr>
        <w:t>The extent to which they</w:t>
      </w:r>
      <w:r w:rsidRPr="00DF1F0D">
        <w:rPr>
          <w:bCs/>
        </w:rPr>
        <w:t xml:space="preserve"> </w:t>
      </w:r>
      <w:r>
        <w:rPr>
          <w:bCs/>
        </w:rPr>
        <w:t xml:space="preserve">build capacity in </w:t>
      </w:r>
      <w:r>
        <w:rPr>
          <w:bCs/>
        </w:rPr>
        <w:t>medical</w:t>
      </w:r>
      <w:r w:rsidRPr="00DF1F0D">
        <w:rPr>
          <w:bCs/>
        </w:rPr>
        <w:t xml:space="preserve"> </w:t>
      </w:r>
      <w:proofErr w:type="gramStart"/>
      <w:r w:rsidRPr="00DF1F0D">
        <w:rPr>
          <w:bCs/>
        </w:rPr>
        <w:t>education?</w:t>
      </w:r>
      <w:proofErr w:type="gramEnd"/>
      <w:r w:rsidRPr="00DF1F0D">
        <w:rPr>
          <w:bCs/>
        </w:rPr>
        <w:t xml:space="preserve"> What are the barriers?</w:t>
      </w:r>
    </w:p>
    <w:p w14:paraId="0C1CB010" w14:textId="77777777" w:rsidR="00402592" w:rsidRPr="00DF1F0D" w:rsidRDefault="00402592" w:rsidP="00402592">
      <w:pPr>
        <w:pStyle w:val="ListParagraph"/>
        <w:numPr>
          <w:ilvl w:val="0"/>
          <w:numId w:val="11"/>
        </w:numPr>
        <w:spacing w:after="0"/>
        <w:ind w:left="1800"/>
        <w:contextualSpacing w:val="0"/>
        <w:jc w:val="both"/>
        <w:rPr>
          <w:bCs/>
        </w:rPr>
      </w:pPr>
      <w:r w:rsidRPr="00DF1F0D">
        <w:rPr>
          <w:bCs/>
        </w:rPr>
        <w:t>How it is being sustained and what are its future aspirations?</w:t>
      </w:r>
    </w:p>
    <w:p w14:paraId="439B11AE" w14:textId="63E36A52" w:rsidR="00402592" w:rsidRDefault="00647E9D" w:rsidP="00402592">
      <w:pPr>
        <w:pStyle w:val="ListParagraph"/>
        <w:numPr>
          <w:ilvl w:val="0"/>
          <w:numId w:val="11"/>
        </w:numPr>
        <w:spacing w:after="0"/>
        <w:ind w:left="1800"/>
        <w:contextualSpacing w:val="0"/>
        <w:jc w:val="both"/>
        <w:rPr>
          <w:bCs/>
        </w:rPr>
      </w:pPr>
      <w:r>
        <w:rPr>
          <w:bCs/>
        </w:rPr>
        <w:t>To what extent (if any)</w:t>
      </w:r>
      <w:r w:rsidR="00402592" w:rsidRPr="00DF1F0D">
        <w:rPr>
          <w:bCs/>
        </w:rPr>
        <w:t xml:space="preserve"> are the partnerships and exchanges contributing towards trust building between governments-to-government, institutions-to-institutions and people-to-people?</w:t>
      </w:r>
    </w:p>
    <w:p w14:paraId="1BE1B41C" w14:textId="77777777" w:rsidR="00402592" w:rsidRPr="00DF1F0D" w:rsidRDefault="00402592" w:rsidP="00402592">
      <w:pPr>
        <w:pStyle w:val="ListParagraph"/>
        <w:numPr>
          <w:ilvl w:val="0"/>
          <w:numId w:val="0"/>
        </w:numPr>
        <w:spacing w:after="0"/>
        <w:ind w:left="1800"/>
        <w:contextualSpacing w:val="0"/>
        <w:jc w:val="both"/>
        <w:rPr>
          <w:bCs/>
        </w:rPr>
      </w:pPr>
    </w:p>
    <w:p w14:paraId="462D430E" w14:textId="77777777" w:rsidR="00402592" w:rsidRPr="00DF1F0D" w:rsidRDefault="00402592" w:rsidP="00402592">
      <w:pPr>
        <w:pStyle w:val="ListParagraph"/>
        <w:numPr>
          <w:ilvl w:val="0"/>
          <w:numId w:val="0"/>
        </w:numPr>
        <w:spacing w:after="0"/>
        <w:ind w:left="720"/>
        <w:jc w:val="both"/>
        <w:rPr>
          <w:bCs/>
        </w:rPr>
      </w:pPr>
    </w:p>
    <w:p w14:paraId="517248E0" w14:textId="52211E1C" w:rsidR="00402592" w:rsidRPr="00DF1F0D" w:rsidRDefault="00402592" w:rsidP="00402592">
      <w:pPr>
        <w:pStyle w:val="ListParagraph"/>
        <w:numPr>
          <w:ilvl w:val="0"/>
          <w:numId w:val="12"/>
        </w:numPr>
        <w:spacing w:after="0"/>
        <w:contextualSpacing w:val="0"/>
        <w:jc w:val="both"/>
        <w:rPr>
          <w:bCs/>
        </w:rPr>
      </w:pPr>
      <w:r w:rsidRPr="00DF1F0D">
        <w:rPr>
          <w:bCs/>
        </w:rPr>
        <w:t xml:space="preserve">Identify changes (brought by the impact of Covid-19) in </w:t>
      </w:r>
      <w:r w:rsidR="00CE44B2">
        <w:rPr>
          <w:bCs/>
        </w:rPr>
        <w:t>Bangladesh</w:t>
      </w:r>
      <w:r w:rsidRPr="00DF1F0D">
        <w:rPr>
          <w:bCs/>
        </w:rPr>
        <w:t xml:space="preserve"> national policies and emerging priorities on partnerships and exchanges in </w:t>
      </w:r>
      <w:r w:rsidR="00CE44B2">
        <w:rPr>
          <w:bCs/>
        </w:rPr>
        <w:t>medical</w:t>
      </w:r>
      <w:r w:rsidRPr="00DF1F0D">
        <w:rPr>
          <w:bCs/>
        </w:rPr>
        <w:t xml:space="preserve"> education particularly on teaching-learning, skills, research and mobility.</w:t>
      </w:r>
    </w:p>
    <w:p w14:paraId="28629C95" w14:textId="77777777" w:rsidR="00402592" w:rsidRPr="00DF1F0D" w:rsidRDefault="00402592" w:rsidP="00402592">
      <w:pPr>
        <w:pStyle w:val="ListParagraph"/>
        <w:numPr>
          <w:ilvl w:val="0"/>
          <w:numId w:val="0"/>
        </w:numPr>
        <w:spacing w:after="0"/>
        <w:ind w:left="720"/>
        <w:jc w:val="both"/>
        <w:rPr>
          <w:bCs/>
        </w:rPr>
      </w:pPr>
    </w:p>
    <w:p w14:paraId="6A1DC67C" w14:textId="2D8CA67A" w:rsidR="00402592" w:rsidRPr="00DF1F0D" w:rsidRDefault="00402592" w:rsidP="00402592">
      <w:pPr>
        <w:pStyle w:val="ListParagraph"/>
        <w:numPr>
          <w:ilvl w:val="0"/>
          <w:numId w:val="12"/>
        </w:numPr>
        <w:spacing w:after="0" w:line="360" w:lineRule="auto"/>
        <w:contextualSpacing w:val="0"/>
        <w:jc w:val="both"/>
        <w:rPr>
          <w:bCs/>
        </w:rPr>
      </w:pPr>
      <w:r w:rsidRPr="00DF1F0D">
        <w:rPr>
          <w:bCs/>
        </w:rPr>
        <w:t xml:space="preserve">From analysis of the baseline data and updated view of </w:t>
      </w:r>
      <w:r w:rsidR="00CE44B2">
        <w:rPr>
          <w:bCs/>
        </w:rPr>
        <w:t>Bangladesh</w:t>
      </w:r>
      <w:r w:rsidRPr="00DF1F0D">
        <w:rPr>
          <w:bCs/>
        </w:rPr>
        <w:t xml:space="preserve"> policies and priorities:</w:t>
      </w:r>
    </w:p>
    <w:p w14:paraId="13547265" w14:textId="333EBF68" w:rsidR="00402592" w:rsidRPr="00DF1F0D" w:rsidRDefault="00402592" w:rsidP="00402592">
      <w:pPr>
        <w:pStyle w:val="ListParagraph"/>
        <w:numPr>
          <w:ilvl w:val="0"/>
          <w:numId w:val="13"/>
        </w:numPr>
        <w:ind w:left="1440" w:hanging="450"/>
        <w:contextualSpacing w:val="0"/>
        <w:rPr>
          <w:bCs/>
        </w:rPr>
      </w:pPr>
      <w:r w:rsidRPr="00DF1F0D">
        <w:rPr>
          <w:bCs/>
        </w:rPr>
        <w:t>Identify the landscape of UK-</w:t>
      </w:r>
      <w:r w:rsidR="00CE44B2">
        <w:rPr>
          <w:bCs/>
        </w:rPr>
        <w:t>Bangladesh</w:t>
      </w:r>
      <w:r w:rsidRPr="00DF1F0D">
        <w:rPr>
          <w:bCs/>
        </w:rPr>
        <w:t xml:space="preserve"> partnerships and exchanges </w:t>
      </w:r>
      <w:r w:rsidR="00CE44B2">
        <w:rPr>
          <w:bCs/>
        </w:rPr>
        <w:t>in the medical education sector</w:t>
      </w:r>
    </w:p>
    <w:p w14:paraId="29B53D06" w14:textId="48888202" w:rsidR="00402592" w:rsidRDefault="00402592" w:rsidP="00402592">
      <w:pPr>
        <w:pStyle w:val="ListParagraph"/>
        <w:numPr>
          <w:ilvl w:val="0"/>
          <w:numId w:val="13"/>
        </w:numPr>
        <w:ind w:left="1440" w:hanging="450"/>
        <w:contextualSpacing w:val="0"/>
        <w:rPr>
          <w:bCs/>
        </w:rPr>
      </w:pPr>
      <w:r w:rsidRPr="00DF1F0D">
        <w:rPr>
          <w:bCs/>
        </w:rPr>
        <w:t>Determine what types or models of UK-</w:t>
      </w:r>
      <w:r w:rsidR="00CE44B2">
        <w:rPr>
          <w:bCs/>
        </w:rPr>
        <w:t>Bangladesh</w:t>
      </w:r>
      <w:r w:rsidRPr="00DF1F0D">
        <w:rPr>
          <w:bCs/>
        </w:rPr>
        <w:t xml:space="preserve"> partnerships and exchanges work best </w:t>
      </w:r>
    </w:p>
    <w:p w14:paraId="28F2C8BA" w14:textId="69B0D8A6" w:rsidR="00402592" w:rsidRDefault="00402592" w:rsidP="00402592">
      <w:pPr>
        <w:pStyle w:val="ListParagraph"/>
        <w:numPr>
          <w:ilvl w:val="0"/>
          <w:numId w:val="13"/>
        </w:numPr>
        <w:ind w:left="1440" w:hanging="450"/>
        <w:contextualSpacing w:val="0"/>
        <w:rPr>
          <w:bCs/>
        </w:rPr>
      </w:pPr>
      <w:r w:rsidRPr="001D1323">
        <w:rPr>
          <w:bCs/>
        </w:rPr>
        <w:t>Recommendations on UK-</w:t>
      </w:r>
      <w:r w:rsidR="00CE44B2">
        <w:rPr>
          <w:bCs/>
        </w:rPr>
        <w:t>Bangladesh</w:t>
      </w:r>
      <w:r w:rsidRPr="001D1323">
        <w:rPr>
          <w:bCs/>
        </w:rPr>
        <w:t xml:space="preserve"> partnership initiatives on </w:t>
      </w:r>
      <w:r w:rsidR="00CE44B2">
        <w:rPr>
          <w:bCs/>
        </w:rPr>
        <w:t>medical</w:t>
      </w:r>
      <w:r w:rsidRPr="001D1323">
        <w:rPr>
          <w:bCs/>
        </w:rPr>
        <w:t xml:space="preserve"> education</w:t>
      </w:r>
    </w:p>
    <w:p w14:paraId="050B4E3B" w14:textId="1BA3C7B1" w:rsidR="00402592" w:rsidRDefault="00402592" w:rsidP="00402592">
      <w:pPr>
        <w:pStyle w:val="ListParagraph"/>
        <w:numPr>
          <w:ilvl w:val="0"/>
          <w:numId w:val="13"/>
        </w:numPr>
        <w:ind w:left="1440" w:hanging="450"/>
        <w:contextualSpacing w:val="0"/>
        <w:rPr>
          <w:bCs/>
        </w:rPr>
      </w:pPr>
      <w:r w:rsidRPr="001D1323">
        <w:rPr>
          <w:bCs/>
        </w:rPr>
        <w:t xml:space="preserve">Recommendations on trilateral education partnership initiatives that UK can pursue which will deliver social and economic development outcomes to </w:t>
      </w:r>
      <w:r w:rsidR="00CE44B2">
        <w:rPr>
          <w:bCs/>
        </w:rPr>
        <w:t>Bangladesh</w:t>
      </w:r>
      <w:r w:rsidRPr="001D1323">
        <w:rPr>
          <w:bCs/>
        </w:rPr>
        <w:t>.</w:t>
      </w:r>
    </w:p>
    <w:p w14:paraId="5DE45141" w14:textId="7065BBAC" w:rsidR="00CE44B2" w:rsidRDefault="00402592" w:rsidP="00402592">
      <w:pPr>
        <w:pStyle w:val="ListParagraph"/>
        <w:numPr>
          <w:ilvl w:val="0"/>
          <w:numId w:val="13"/>
        </w:numPr>
        <w:ind w:left="1440" w:hanging="450"/>
        <w:contextualSpacing w:val="0"/>
        <w:rPr>
          <w:bCs/>
        </w:rPr>
      </w:pPr>
      <w:r w:rsidRPr="001D1323">
        <w:rPr>
          <w:bCs/>
        </w:rPr>
        <w:t xml:space="preserve">Recommendations to British Council on partnerships initiatives in </w:t>
      </w:r>
      <w:r w:rsidR="00CE44B2">
        <w:rPr>
          <w:bCs/>
        </w:rPr>
        <w:t>medical education</w:t>
      </w:r>
      <w:r w:rsidRPr="001D1323">
        <w:rPr>
          <w:bCs/>
        </w:rPr>
        <w:t xml:space="preserve"> that can be pursued with </w:t>
      </w:r>
      <w:r w:rsidR="00CE44B2">
        <w:rPr>
          <w:bCs/>
        </w:rPr>
        <w:t>Bangladesh.</w:t>
      </w:r>
    </w:p>
    <w:p w14:paraId="09DDA668" w14:textId="77777777" w:rsidR="007F030E" w:rsidRPr="007F030E" w:rsidRDefault="007F030E" w:rsidP="007F030E">
      <w:pPr>
        <w:ind w:left="990"/>
        <w:rPr>
          <w:bCs/>
        </w:rPr>
      </w:pPr>
    </w:p>
    <w:p w14:paraId="717A3897" w14:textId="5047A4F6" w:rsidR="007F030E" w:rsidRDefault="00CE44B2" w:rsidP="007F030E">
      <w:pPr>
        <w:pStyle w:val="HeadingB"/>
        <w:numPr>
          <w:ilvl w:val="0"/>
          <w:numId w:val="12"/>
        </w:numPr>
        <w:spacing w:before="0" w:after="0"/>
        <w:ind w:left="714" w:hanging="357"/>
        <w:rPr>
          <w:rFonts w:eastAsiaTheme="minorEastAsia" w:cstheme="minorBidi"/>
          <w:b w:val="0"/>
          <w:color w:val="auto"/>
          <w:sz w:val="24"/>
        </w:rPr>
      </w:pPr>
      <w:r w:rsidRPr="00950221">
        <w:rPr>
          <w:rFonts w:eastAsiaTheme="minorEastAsia" w:cstheme="minorBidi"/>
          <w:b w:val="0"/>
          <w:color w:val="auto"/>
          <w:sz w:val="24"/>
        </w:rPr>
        <w:t xml:space="preserve">Identify the stakeholders engaged in </w:t>
      </w:r>
      <w:r>
        <w:rPr>
          <w:rFonts w:eastAsiaTheme="minorEastAsia" w:cstheme="minorBidi"/>
          <w:b w:val="0"/>
          <w:color w:val="auto"/>
          <w:sz w:val="24"/>
        </w:rPr>
        <w:t>medical education</w:t>
      </w:r>
      <w:r w:rsidRPr="00950221">
        <w:rPr>
          <w:rFonts w:eastAsiaTheme="minorEastAsia" w:cstheme="minorBidi"/>
          <w:b w:val="0"/>
          <w:color w:val="auto"/>
          <w:sz w:val="24"/>
        </w:rPr>
        <w:t xml:space="preserve"> – government,</w:t>
      </w:r>
      <w:r>
        <w:rPr>
          <w:rFonts w:eastAsiaTheme="minorEastAsia" w:cstheme="minorBidi"/>
          <w:b w:val="0"/>
          <w:color w:val="auto"/>
          <w:sz w:val="24"/>
        </w:rPr>
        <w:t xml:space="preserve"> professional associations,</w:t>
      </w:r>
      <w:r w:rsidRPr="00950221">
        <w:rPr>
          <w:rFonts w:eastAsiaTheme="minorEastAsia" w:cstheme="minorBidi"/>
          <w:b w:val="0"/>
          <w:color w:val="auto"/>
          <w:sz w:val="24"/>
        </w:rPr>
        <w:t xml:space="preserve"> (I)NGOs, private, local and international – and the roles they pla</w:t>
      </w:r>
      <w:r w:rsidR="007F030E">
        <w:rPr>
          <w:rFonts w:eastAsiaTheme="minorEastAsia" w:cstheme="minorBidi"/>
          <w:b w:val="0"/>
          <w:color w:val="auto"/>
          <w:sz w:val="24"/>
        </w:rPr>
        <w:t xml:space="preserve">y. </w:t>
      </w:r>
    </w:p>
    <w:p w14:paraId="4B3AE07A" w14:textId="77777777" w:rsidR="007F030E" w:rsidRPr="007F030E" w:rsidRDefault="007F030E" w:rsidP="007F030E"/>
    <w:p w14:paraId="24B688B3" w14:textId="2CC2932B" w:rsidR="00CE44B2" w:rsidRDefault="00CE44B2" w:rsidP="007F030E">
      <w:pPr>
        <w:pStyle w:val="HeadingB"/>
        <w:numPr>
          <w:ilvl w:val="0"/>
          <w:numId w:val="12"/>
        </w:numPr>
        <w:spacing w:before="0" w:after="0"/>
        <w:ind w:left="714" w:hanging="357"/>
        <w:rPr>
          <w:rFonts w:eastAsiaTheme="minorEastAsia" w:cstheme="minorBidi"/>
          <w:b w:val="0"/>
          <w:color w:val="auto"/>
          <w:sz w:val="24"/>
        </w:rPr>
      </w:pPr>
      <w:r w:rsidRPr="00950221">
        <w:rPr>
          <w:rFonts w:eastAsiaTheme="minorEastAsia" w:cstheme="minorBidi"/>
          <w:b w:val="0"/>
          <w:color w:val="auto"/>
          <w:sz w:val="24"/>
        </w:rPr>
        <w:t xml:space="preserve">Identify strengths and weaknesses </w:t>
      </w:r>
      <w:r>
        <w:rPr>
          <w:rFonts w:eastAsiaTheme="minorEastAsia" w:cstheme="minorBidi"/>
          <w:b w:val="0"/>
          <w:color w:val="auto"/>
          <w:sz w:val="24"/>
        </w:rPr>
        <w:t>of</w:t>
      </w:r>
      <w:r w:rsidRPr="00950221">
        <w:rPr>
          <w:rFonts w:eastAsiaTheme="minorEastAsia" w:cstheme="minorBidi"/>
          <w:b w:val="0"/>
          <w:color w:val="auto"/>
          <w:sz w:val="24"/>
        </w:rPr>
        <w:t xml:space="preserve"> the current </w:t>
      </w:r>
      <w:r>
        <w:rPr>
          <w:rFonts w:eastAsiaTheme="minorEastAsia" w:cstheme="minorBidi"/>
          <w:b w:val="0"/>
          <w:color w:val="auto"/>
          <w:sz w:val="24"/>
        </w:rPr>
        <w:t>medical education</w:t>
      </w:r>
      <w:r w:rsidRPr="00950221">
        <w:rPr>
          <w:rFonts w:eastAsiaTheme="minorEastAsia" w:cstheme="minorBidi"/>
          <w:b w:val="0"/>
          <w:color w:val="auto"/>
          <w:sz w:val="24"/>
        </w:rPr>
        <w:t xml:space="preserve"> systems</w:t>
      </w:r>
    </w:p>
    <w:p w14:paraId="3F94B336" w14:textId="77777777" w:rsidR="007F030E" w:rsidRPr="007F030E" w:rsidRDefault="007F030E" w:rsidP="007F030E"/>
    <w:p w14:paraId="09A6F4BA" w14:textId="4C1FEC6E" w:rsidR="00CE44B2" w:rsidRDefault="00CE44B2" w:rsidP="007F030E">
      <w:pPr>
        <w:pStyle w:val="HeadingB"/>
        <w:numPr>
          <w:ilvl w:val="0"/>
          <w:numId w:val="12"/>
        </w:numPr>
        <w:spacing w:before="0" w:after="0"/>
        <w:ind w:left="714" w:hanging="357"/>
        <w:rPr>
          <w:rFonts w:eastAsiaTheme="minorEastAsia" w:cstheme="minorBidi"/>
          <w:b w:val="0"/>
          <w:color w:val="auto"/>
          <w:sz w:val="24"/>
        </w:rPr>
      </w:pPr>
      <w:r w:rsidRPr="00950221">
        <w:rPr>
          <w:rFonts w:eastAsiaTheme="minorEastAsia" w:cstheme="minorBidi"/>
          <w:b w:val="0"/>
          <w:color w:val="auto"/>
          <w:sz w:val="24"/>
        </w:rPr>
        <w:t xml:space="preserve">Identify gaps in </w:t>
      </w:r>
      <w:r>
        <w:rPr>
          <w:rFonts w:eastAsiaTheme="minorEastAsia" w:cstheme="minorBidi"/>
          <w:b w:val="0"/>
          <w:color w:val="auto"/>
          <w:sz w:val="24"/>
        </w:rPr>
        <w:t xml:space="preserve">educational </w:t>
      </w:r>
      <w:r w:rsidRPr="00950221">
        <w:rPr>
          <w:rFonts w:eastAsiaTheme="minorEastAsia" w:cstheme="minorBidi"/>
          <w:b w:val="0"/>
          <w:color w:val="auto"/>
          <w:sz w:val="24"/>
        </w:rPr>
        <w:t xml:space="preserve">capacity and </w:t>
      </w:r>
      <w:r>
        <w:rPr>
          <w:rFonts w:eastAsiaTheme="minorEastAsia" w:cstheme="minorBidi"/>
          <w:b w:val="0"/>
          <w:color w:val="auto"/>
          <w:sz w:val="24"/>
        </w:rPr>
        <w:t xml:space="preserve">provide </w:t>
      </w:r>
      <w:r w:rsidRPr="00950221">
        <w:rPr>
          <w:rFonts w:eastAsiaTheme="minorEastAsia" w:cstheme="minorBidi"/>
          <w:b w:val="0"/>
          <w:color w:val="auto"/>
          <w:sz w:val="24"/>
        </w:rPr>
        <w:t xml:space="preserve">projections of when Bangladesh will be able to meet </w:t>
      </w:r>
      <w:r>
        <w:rPr>
          <w:rFonts w:eastAsiaTheme="minorEastAsia" w:cstheme="minorBidi"/>
          <w:b w:val="0"/>
          <w:color w:val="auto"/>
          <w:sz w:val="24"/>
        </w:rPr>
        <w:t xml:space="preserve">WHO workforce density guidelines and UHC metric if action is taken. </w:t>
      </w:r>
    </w:p>
    <w:p w14:paraId="7FBE09EE" w14:textId="77777777" w:rsidR="007F030E" w:rsidRPr="007F030E" w:rsidRDefault="007F030E" w:rsidP="007F030E"/>
    <w:p w14:paraId="650731CD" w14:textId="388FE4B9" w:rsidR="00CE44B2" w:rsidRDefault="00CE44B2" w:rsidP="007F030E">
      <w:pPr>
        <w:pStyle w:val="HeadingB"/>
        <w:numPr>
          <w:ilvl w:val="0"/>
          <w:numId w:val="12"/>
        </w:numPr>
        <w:spacing w:before="0" w:after="0"/>
        <w:ind w:left="714" w:hanging="357"/>
        <w:rPr>
          <w:rFonts w:eastAsiaTheme="minorEastAsia" w:cstheme="minorBidi"/>
          <w:b w:val="0"/>
          <w:color w:val="auto"/>
          <w:sz w:val="24"/>
        </w:rPr>
      </w:pPr>
      <w:r w:rsidRPr="00950221">
        <w:rPr>
          <w:rFonts w:eastAsiaTheme="minorEastAsia" w:cstheme="minorBidi"/>
          <w:b w:val="0"/>
          <w:color w:val="auto"/>
          <w:sz w:val="24"/>
        </w:rPr>
        <w:t>Identify gaps in standards/accreditation in nursing education with reference to the standards required in the UK</w:t>
      </w:r>
    </w:p>
    <w:p w14:paraId="03467164" w14:textId="77777777" w:rsidR="007F030E" w:rsidRPr="007F030E" w:rsidRDefault="007F030E" w:rsidP="007F030E"/>
    <w:p w14:paraId="600E6215" w14:textId="088890CF" w:rsidR="00CE44B2" w:rsidRDefault="00CE44B2" w:rsidP="007F030E">
      <w:pPr>
        <w:pStyle w:val="ListParagraph"/>
        <w:numPr>
          <w:ilvl w:val="0"/>
          <w:numId w:val="12"/>
        </w:numPr>
        <w:spacing w:after="0" w:line="259" w:lineRule="auto"/>
        <w:ind w:left="714" w:hanging="357"/>
      </w:pPr>
      <w:r w:rsidRPr="00A83A04">
        <w:t xml:space="preserve">Identify further gaps which might </w:t>
      </w:r>
      <w:r w:rsidR="001014BE">
        <w:t>hinder</w:t>
      </w:r>
      <w:r w:rsidRPr="00A83A04">
        <w:t xml:space="preserve"> </w:t>
      </w:r>
      <w:r w:rsidR="002B73E1">
        <w:t>mobility</w:t>
      </w:r>
      <w:r w:rsidRPr="00A83A04">
        <w:t xml:space="preserve"> of professionals to the UK, e.g. English Language</w:t>
      </w:r>
    </w:p>
    <w:p w14:paraId="72186635" w14:textId="77777777" w:rsidR="007F030E" w:rsidRDefault="007F030E" w:rsidP="007F030E">
      <w:pPr>
        <w:pStyle w:val="ListParagraph"/>
        <w:numPr>
          <w:ilvl w:val="0"/>
          <w:numId w:val="0"/>
        </w:numPr>
        <w:ind w:left="720"/>
      </w:pPr>
    </w:p>
    <w:p w14:paraId="598F33B4" w14:textId="77777777" w:rsidR="00CE44B2" w:rsidRPr="00CE44B2" w:rsidRDefault="00CE44B2" w:rsidP="007F030E">
      <w:pPr>
        <w:pStyle w:val="ListParagraph"/>
        <w:numPr>
          <w:ilvl w:val="0"/>
          <w:numId w:val="12"/>
        </w:numPr>
        <w:ind w:left="714" w:hanging="357"/>
        <w:rPr>
          <w:bCs/>
        </w:rPr>
      </w:pPr>
      <w:r>
        <w:rPr>
          <w:bCs/>
        </w:rPr>
        <w:t>R</w:t>
      </w:r>
      <w:r w:rsidRPr="00CE44B2">
        <w:rPr>
          <w:bCs/>
        </w:rPr>
        <w:t>ecommendations/a roadmap to improve Bangladeshi medical education systems to:</w:t>
      </w:r>
    </w:p>
    <w:p w14:paraId="65BF6C5C" w14:textId="77777777" w:rsidR="00CE44B2" w:rsidRPr="00CE44B2" w:rsidRDefault="00CE44B2" w:rsidP="00CE44B2">
      <w:pPr>
        <w:pStyle w:val="Bullets"/>
      </w:pPr>
      <w:r w:rsidRPr="00CE44B2">
        <w:t>improve quality of medical education in Bangladesh</w:t>
      </w:r>
    </w:p>
    <w:p w14:paraId="7BACFBCE" w14:textId="77777777" w:rsidR="00CE44B2" w:rsidRPr="00CE44B2" w:rsidRDefault="00CE44B2" w:rsidP="00CE44B2">
      <w:pPr>
        <w:pStyle w:val="Bullets"/>
      </w:pPr>
      <w:r w:rsidRPr="00CE44B2">
        <w:t>increase capacity medical education in Bangladesh</w:t>
      </w:r>
    </w:p>
    <w:p w14:paraId="36450DBD" w14:textId="6F7D9F06" w:rsidR="00CE44B2" w:rsidRPr="00CE44B2" w:rsidRDefault="00CE44B2" w:rsidP="00CE44B2">
      <w:pPr>
        <w:pStyle w:val="Bullets"/>
      </w:pPr>
      <w:r w:rsidRPr="00CE44B2">
        <w:t>support drive to deliver universal health coverage</w:t>
      </w:r>
    </w:p>
    <w:p w14:paraId="5B1A56A5" w14:textId="63692827" w:rsidR="00CE44B2" w:rsidRDefault="00CE44B2" w:rsidP="007F030E">
      <w:pPr>
        <w:pStyle w:val="Bullets"/>
      </w:pPr>
      <w:r w:rsidRPr="00CE44B2">
        <w:t xml:space="preserve">pave the road for eventual </w:t>
      </w:r>
      <w:r w:rsidR="007E742F">
        <w:t>mobility</w:t>
      </w:r>
      <w:r w:rsidRPr="00CE44B2">
        <w:t xml:space="preserve"> of nursing staff to the UK with suitable qualifications.</w:t>
      </w:r>
    </w:p>
    <w:p w14:paraId="408F8A40" w14:textId="544B4A87" w:rsidR="00CF0F5F" w:rsidRDefault="00CF0F5F" w:rsidP="00CF0F5F">
      <w:pPr>
        <w:pStyle w:val="Bullets"/>
        <w:numPr>
          <w:ilvl w:val="0"/>
          <w:numId w:val="12"/>
        </w:numPr>
      </w:pPr>
      <w:r>
        <w:t xml:space="preserve">Identify opportunities for the UK and UK institutions to support </w:t>
      </w:r>
      <w:r w:rsidR="009E1205">
        <w:t>capacity building and inclusion in medical education systems in Bangladesh.</w:t>
      </w:r>
    </w:p>
    <w:p w14:paraId="1662F73A" w14:textId="77777777" w:rsidR="007F030E" w:rsidRDefault="007F030E" w:rsidP="007F030E">
      <w:pPr>
        <w:pStyle w:val="Bullets"/>
        <w:numPr>
          <w:ilvl w:val="0"/>
          <w:numId w:val="0"/>
        </w:numPr>
        <w:ind w:left="1080"/>
      </w:pPr>
    </w:p>
    <w:p w14:paraId="725972C4" w14:textId="1C25D3B9" w:rsidR="00CE44B2" w:rsidRPr="00CE44B2" w:rsidRDefault="00CE44B2" w:rsidP="00CE44B2">
      <w:pPr>
        <w:pStyle w:val="Bullets"/>
        <w:numPr>
          <w:ilvl w:val="0"/>
          <w:numId w:val="0"/>
        </w:numPr>
        <w:rPr>
          <w:i/>
          <w:iCs/>
          <w:sz w:val="18"/>
          <w:szCs w:val="18"/>
        </w:rPr>
      </w:pPr>
      <w:r w:rsidRPr="00CE44B2">
        <w:rPr>
          <w:i/>
          <w:iCs/>
          <w:sz w:val="18"/>
          <w:szCs w:val="18"/>
        </w:rPr>
        <w:t>Note: Also refer to the call for application document</w:t>
      </w:r>
      <w:r>
        <w:rPr>
          <w:i/>
          <w:iCs/>
          <w:sz w:val="18"/>
          <w:szCs w:val="18"/>
        </w:rPr>
        <w:t>.</w:t>
      </w:r>
      <w:r w:rsidRPr="00CE44B2">
        <w:rPr>
          <w:i/>
          <w:iCs/>
          <w:sz w:val="18"/>
          <w:szCs w:val="18"/>
        </w:rPr>
        <w:t xml:space="preserve"> </w:t>
      </w:r>
    </w:p>
    <w:p w14:paraId="3B0233E8" w14:textId="6C9D5DA3" w:rsidR="00AC741A" w:rsidRPr="00AC741A" w:rsidRDefault="00AC741A" w:rsidP="00AC741A">
      <w:pPr>
        <w:pStyle w:val="HeadingB"/>
        <w:rPr>
          <w:sz w:val="24"/>
        </w:rPr>
      </w:pPr>
      <w:r>
        <w:rPr>
          <w:sz w:val="24"/>
          <w:lang w:val="en-US"/>
        </w:rPr>
        <w:t>P</w:t>
      </w:r>
      <w:r w:rsidRPr="00AC741A">
        <w:rPr>
          <w:sz w:val="24"/>
          <w:lang w:val="en-US"/>
        </w:rPr>
        <w:t xml:space="preserve">roject </w:t>
      </w:r>
      <w:r>
        <w:rPr>
          <w:sz w:val="24"/>
          <w:lang w:val="en-US"/>
        </w:rPr>
        <w:t>Outputs</w:t>
      </w:r>
    </w:p>
    <w:p w14:paraId="717F4836" w14:textId="2C39F795" w:rsidR="00AC741A" w:rsidRPr="004C125D" w:rsidRDefault="00AC741A" w:rsidP="00AC741A">
      <w:pPr>
        <w:rPr>
          <w:rStyle w:val="Hyperlink"/>
          <w:rFonts w:eastAsia="Times New Roman"/>
          <w:color w:val="auto"/>
          <w:u w:val="none"/>
        </w:rPr>
      </w:pPr>
      <w:r w:rsidRPr="004C125D">
        <w:rPr>
          <w:rStyle w:val="Hyperlink"/>
          <w:rFonts w:eastAsia="Times New Roman"/>
          <w:color w:val="auto"/>
          <w:u w:val="none"/>
        </w:rPr>
        <w:t>The project is expected to produc</w:t>
      </w:r>
      <w:r w:rsidR="004C125D" w:rsidRPr="004C125D">
        <w:rPr>
          <w:rStyle w:val="Hyperlink"/>
          <w:rFonts w:eastAsia="Times New Roman"/>
          <w:color w:val="auto"/>
          <w:u w:val="none"/>
        </w:rPr>
        <w:t>e</w:t>
      </w:r>
      <w:r w:rsidRPr="004C125D">
        <w:rPr>
          <w:rStyle w:val="Hyperlink"/>
          <w:rFonts w:eastAsia="Times New Roman"/>
          <w:color w:val="auto"/>
          <w:u w:val="none"/>
        </w:rPr>
        <w:t>:</w:t>
      </w:r>
    </w:p>
    <w:p w14:paraId="77811135" w14:textId="7DD951CA" w:rsidR="004C125D" w:rsidRPr="004C125D" w:rsidRDefault="004C125D" w:rsidP="005C3D23">
      <w:pPr>
        <w:numPr>
          <w:ilvl w:val="0"/>
          <w:numId w:val="17"/>
        </w:numPr>
        <w:tabs>
          <w:tab w:val="left" w:pos="1800"/>
        </w:tabs>
        <w:spacing w:before="240" w:after="0"/>
        <w:ind w:left="720" w:hanging="360"/>
        <w:rPr>
          <w:rFonts w:cs="Arial"/>
        </w:rPr>
      </w:pPr>
      <w:r w:rsidRPr="004C125D">
        <w:rPr>
          <w:rFonts w:cs="Arial"/>
        </w:rPr>
        <w:t>Fina</w:t>
      </w:r>
      <w:r>
        <w:rPr>
          <w:rFonts w:cs="Arial"/>
        </w:rPr>
        <w:t>l</w:t>
      </w:r>
      <w:r w:rsidRPr="004C125D">
        <w:rPr>
          <w:rFonts w:cs="Arial"/>
        </w:rPr>
        <w:t xml:space="preserve"> reports</w:t>
      </w:r>
    </w:p>
    <w:p w14:paraId="3A3F7739" w14:textId="7A4DE6FB" w:rsidR="00AC741A" w:rsidRPr="004C125D" w:rsidRDefault="00AC741A" w:rsidP="004C125D">
      <w:pPr>
        <w:pStyle w:val="ListParagraph"/>
        <w:numPr>
          <w:ilvl w:val="0"/>
          <w:numId w:val="26"/>
        </w:numPr>
        <w:tabs>
          <w:tab w:val="left" w:pos="1800"/>
        </w:tabs>
        <w:spacing w:before="240" w:after="0"/>
        <w:rPr>
          <w:rFonts w:cs="Arial"/>
        </w:rPr>
      </w:pPr>
      <w:r w:rsidRPr="004C125D">
        <w:rPr>
          <w:rFonts w:cs="Arial"/>
        </w:rPr>
        <w:t xml:space="preserve">Comprehensive Report </w:t>
      </w:r>
    </w:p>
    <w:p w14:paraId="62820187" w14:textId="766455FA" w:rsidR="00AC741A" w:rsidRPr="004C125D" w:rsidRDefault="00AC741A" w:rsidP="004C125D">
      <w:pPr>
        <w:pStyle w:val="ListParagraph"/>
        <w:numPr>
          <w:ilvl w:val="0"/>
          <w:numId w:val="26"/>
        </w:numPr>
        <w:tabs>
          <w:tab w:val="left" w:pos="1800"/>
        </w:tabs>
        <w:spacing w:before="240" w:after="0"/>
        <w:rPr>
          <w:rFonts w:cs="Arial"/>
        </w:rPr>
      </w:pPr>
      <w:r w:rsidRPr="004C125D">
        <w:rPr>
          <w:rFonts w:cs="Arial"/>
        </w:rPr>
        <w:t xml:space="preserve">2-3 Page </w:t>
      </w:r>
      <w:r w:rsidR="004C125D" w:rsidRPr="004C125D">
        <w:rPr>
          <w:rFonts w:cs="Arial"/>
        </w:rPr>
        <w:t xml:space="preserve">Executive </w:t>
      </w:r>
      <w:r w:rsidRPr="004C125D">
        <w:rPr>
          <w:rFonts w:cs="Arial"/>
        </w:rPr>
        <w:t xml:space="preserve">Report </w:t>
      </w:r>
    </w:p>
    <w:p w14:paraId="7EC7AB85" w14:textId="0403E72E" w:rsidR="00AC741A" w:rsidRPr="004C125D" w:rsidRDefault="004C125D" w:rsidP="004C125D">
      <w:pPr>
        <w:tabs>
          <w:tab w:val="left" w:pos="1800"/>
        </w:tabs>
        <w:spacing w:before="240" w:after="0"/>
        <w:ind w:left="720"/>
        <w:rPr>
          <w:rFonts w:cs="Arial"/>
        </w:rPr>
      </w:pPr>
      <w:r w:rsidRPr="004C125D">
        <w:rPr>
          <w:rFonts w:cs="Arial"/>
        </w:rPr>
        <w:t>The Report should have a</w:t>
      </w:r>
      <w:r w:rsidR="00AC741A" w:rsidRPr="004C125D">
        <w:rPr>
          <w:rFonts w:cs="Arial"/>
        </w:rPr>
        <w:t xml:space="preserve"> Recommendations section: </w:t>
      </w:r>
    </w:p>
    <w:p w14:paraId="4D0C0068" w14:textId="723CF7BA" w:rsidR="00AC741A" w:rsidRPr="004C125D" w:rsidRDefault="00AC741A" w:rsidP="005C3D23">
      <w:pPr>
        <w:pStyle w:val="ListParagraph"/>
        <w:numPr>
          <w:ilvl w:val="0"/>
          <w:numId w:val="16"/>
        </w:numPr>
        <w:ind w:left="1260"/>
        <w:contextualSpacing w:val="0"/>
        <w:rPr>
          <w:bCs/>
        </w:rPr>
      </w:pPr>
      <w:r w:rsidRPr="004C125D">
        <w:rPr>
          <w:bCs/>
        </w:rPr>
        <w:t xml:space="preserve">Recommendations to UK on partnership initiatives on </w:t>
      </w:r>
      <w:r w:rsidR="007F030E">
        <w:rPr>
          <w:bCs/>
        </w:rPr>
        <w:t>medical</w:t>
      </w:r>
      <w:r w:rsidRPr="004C125D">
        <w:rPr>
          <w:bCs/>
        </w:rPr>
        <w:t xml:space="preserve"> education to support its bid to become a Dialogue Partner of </w:t>
      </w:r>
      <w:r w:rsidR="007F030E">
        <w:rPr>
          <w:bCs/>
        </w:rPr>
        <w:t>Bangladesh</w:t>
      </w:r>
    </w:p>
    <w:p w14:paraId="60786F9E" w14:textId="4845E623" w:rsidR="00AC741A" w:rsidRPr="004C125D" w:rsidRDefault="00AC741A" w:rsidP="005C3D23">
      <w:pPr>
        <w:pStyle w:val="ListParagraph"/>
        <w:numPr>
          <w:ilvl w:val="0"/>
          <w:numId w:val="16"/>
        </w:numPr>
        <w:ind w:left="1260"/>
        <w:contextualSpacing w:val="0"/>
        <w:rPr>
          <w:bCs/>
        </w:rPr>
      </w:pPr>
      <w:r w:rsidRPr="004C125D">
        <w:rPr>
          <w:bCs/>
        </w:rPr>
        <w:t>Recommendations on how UK-</w:t>
      </w:r>
      <w:r w:rsidR="007F030E">
        <w:rPr>
          <w:bCs/>
        </w:rPr>
        <w:t>Bangladesh</w:t>
      </w:r>
      <w:r w:rsidRPr="004C125D">
        <w:rPr>
          <w:bCs/>
        </w:rPr>
        <w:t xml:space="preserve"> partnerships and exchanges can support equity and inclusion in </w:t>
      </w:r>
      <w:r w:rsidR="007F030E">
        <w:rPr>
          <w:bCs/>
        </w:rPr>
        <w:t xml:space="preserve">medical </w:t>
      </w:r>
      <w:r w:rsidRPr="004C125D">
        <w:rPr>
          <w:bCs/>
        </w:rPr>
        <w:t xml:space="preserve">education in </w:t>
      </w:r>
      <w:r w:rsidR="007F030E">
        <w:rPr>
          <w:bCs/>
        </w:rPr>
        <w:t>Bangladesh</w:t>
      </w:r>
    </w:p>
    <w:p w14:paraId="43C8A1B5" w14:textId="37F7585B" w:rsidR="00AC741A" w:rsidRPr="004C125D" w:rsidRDefault="00AC741A" w:rsidP="005C3D23">
      <w:pPr>
        <w:pStyle w:val="ListParagraph"/>
        <w:numPr>
          <w:ilvl w:val="0"/>
          <w:numId w:val="16"/>
        </w:numPr>
        <w:ind w:left="1260"/>
        <w:contextualSpacing w:val="0"/>
        <w:rPr>
          <w:bCs/>
        </w:rPr>
      </w:pPr>
      <w:r w:rsidRPr="004C125D">
        <w:rPr>
          <w:bCs/>
        </w:rPr>
        <w:t xml:space="preserve">Recommendations to British Council on partnerships initiatives </w:t>
      </w:r>
      <w:r w:rsidR="00DC3113">
        <w:rPr>
          <w:bCs/>
        </w:rPr>
        <w:t>in medical education</w:t>
      </w:r>
      <w:r w:rsidRPr="004C125D">
        <w:rPr>
          <w:bCs/>
        </w:rPr>
        <w:t xml:space="preserve"> that can be pursued with </w:t>
      </w:r>
      <w:r w:rsidR="00DC3113">
        <w:rPr>
          <w:bCs/>
        </w:rPr>
        <w:t>Bangladesh</w:t>
      </w:r>
      <w:r w:rsidRPr="004C125D">
        <w:rPr>
          <w:bCs/>
        </w:rPr>
        <w:t xml:space="preserve"> </w:t>
      </w:r>
    </w:p>
    <w:p w14:paraId="373C504C" w14:textId="677710F4" w:rsidR="005C3D23" w:rsidRDefault="005C3D23" w:rsidP="00AC741A">
      <w:pPr>
        <w:rPr>
          <w:bCs/>
        </w:rPr>
      </w:pPr>
    </w:p>
    <w:p w14:paraId="5DD260C4" w14:textId="77777777" w:rsidR="009E1205" w:rsidRPr="004C125D" w:rsidRDefault="009E1205" w:rsidP="00AC741A">
      <w:pPr>
        <w:rPr>
          <w:bCs/>
        </w:rPr>
      </w:pPr>
      <w:bookmarkStart w:id="0" w:name="_GoBack"/>
      <w:bookmarkEnd w:id="0"/>
    </w:p>
    <w:p w14:paraId="3FCBA2B0" w14:textId="4E3EEEAB" w:rsidR="00AC741A" w:rsidRDefault="004C125D" w:rsidP="004C125D">
      <w:pPr>
        <w:pStyle w:val="ListParagraph"/>
        <w:numPr>
          <w:ilvl w:val="0"/>
          <w:numId w:val="17"/>
        </w:numPr>
        <w:ind w:left="709" w:hanging="349"/>
        <w:rPr>
          <w:bCs/>
        </w:rPr>
      </w:pPr>
      <w:r>
        <w:rPr>
          <w:bCs/>
        </w:rPr>
        <w:lastRenderedPageBreak/>
        <w:t>Report d</w:t>
      </w:r>
      <w:r w:rsidR="00AC741A" w:rsidRPr="004C125D">
        <w:rPr>
          <w:bCs/>
        </w:rPr>
        <w:t xml:space="preserve">issemination </w:t>
      </w:r>
      <w:r w:rsidR="005C3D23" w:rsidRPr="004C125D">
        <w:rPr>
          <w:bCs/>
        </w:rPr>
        <w:t>plan</w:t>
      </w:r>
      <w:r>
        <w:rPr>
          <w:bCs/>
        </w:rPr>
        <w:t xml:space="preserve"> which covers plan on:</w:t>
      </w:r>
    </w:p>
    <w:p w14:paraId="17341B2E" w14:textId="29A4C9C7" w:rsidR="004C125D" w:rsidRDefault="004C125D" w:rsidP="004C125D">
      <w:pPr>
        <w:pStyle w:val="ListParagraph"/>
        <w:numPr>
          <w:ilvl w:val="0"/>
          <w:numId w:val="28"/>
        </w:numPr>
        <w:ind w:left="1276" w:hanging="425"/>
        <w:rPr>
          <w:rFonts w:asciiTheme="minorHAnsi" w:hAnsiTheme="minorHAnsi" w:cstheme="minorHAnsi"/>
        </w:rPr>
      </w:pPr>
      <w:r>
        <w:rPr>
          <w:rFonts w:asciiTheme="minorHAnsi" w:hAnsiTheme="minorHAnsi" w:cstheme="minorHAnsi"/>
        </w:rPr>
        <w:t>how to best present the research outputs to key audience/stakeholders (including innovative visualisations of research data/findings)</w:t>
      </w:r>
    </w:p>
    <w:p w14:paraId="601C92D6" w14:textId="793754E9" w:rsidR="004C125D" w:rsidRPr="004C125D" w:rsidRDefault="004C125D" w:rsidP="004C125D">
      <w:pPr>
        <w:pStyle w:val="ListParagraph"/>
        <w:numPr>
          <w:ilvl w:val="0"/>
          <w:numId w:val="28"/>
        </w:numPr>
        <w:ind w:left="1276" w:hanging="425"/>
        <w:rPr>
          <w:rFonts w:asciiTheme="minorHAnsi" w:hAnsiTheme="minorHAnsi" w:cstheme="minorHAnsi"/>
        </w:rPr>
      </w:pPr>
      <w:r>
        <w:rPr>
          <w:rFonts w:asciiTheme="minorHAnsi" w:hAnsiTheme="minorHAnsi" w:cstheme="minorHAnsi"/>
        </w:rPr>
        <w:t>creative platforms for promotion of the research and engagement of stakeholders</w:t>
      </w:r>
    </w:p>
    <w:p w14:paraId="2EE25BE8" w14:textId="1828C4FE" w:rsidR="005C3D23" w:rsidRDefault="005C3D23" w:rsidP="005C3D23">
      <w:pPr>
        <w:pStyle w:val="HeadingB"/>
        <w:rPr>
          <w:sz w:val="24"/>
          <w:lang w:val="en-US"/>
        </w:rPr>
      </w:pPr>
      <w:r>
        <w:rPr>
          <w:sz w:val="24"/>
          <w:lang w:val="en-US"/>
        </w:rPr>
        <w:t>P</w:t>
      </w:r>
      <w:r w:rsidRPr="00AC741A">
        <w:rPr>
          <w:sz w:val="24"/>
          <w:lang w:val="en-US"/>
        </w:rPr>
        <w:t xml:space="preserve">roject </w:t>
      </w:r>
      <w:r>
        <w:rPr>
          <w:sz w:val="24"/>
          <w:lang w:val="en-US"/>
        </w:rPr>
        <w:t>Duration</w:t>
      </w:r>
    </w:p>
    <w:p w14:paraId="4C7DC7B7" w14:textId="161C39D1" w:rsidR="0024422B" w:rsidRDefault="0024422B" w:rsidP="0024422B">
      <w:pPr>
        <w:rPr>
          <w:lang w:eastAsia="en-GB"/>
        </w:rPr>
      </w:pPr>
      <w:r w:rsidRPr="0053103F">
        <w:rPr>
          <w:lang w:eastAsia="en-GB"/>
        </w:rPr>
        <w:t xml:space="preserve">The </w:t>
      </w:r>
      <w:r>
        <w:rPr>
          <w:lang w:eastAsia="en-GB"/>
        </w:rPr>
        <w:t xml:space="preserve">project is expected to run </w:t>
      </w:r>
      <w:r w:rsidR="00406B04">
        <w:rPr>
          <w:lang w:eastAsia="en-GB"/>
        </w:rPr>
        <w:t xml:space="preserve">for </w:t>
      </w:r>
      <w:r w:rsidR="00DC3113">
        <w:rPr>
          <w:lang w:eastAsia="en-GB"/>
        </w:rPr>
        <w:t>twelve</w:t>
      </w:r>
      <w:r w:rsidR="00406B04">
        <w:rPr>
          <w:lang w:eastAsia="en-GB"/>
        </w:rPr>
        <w:t xml:space="preserve"> (1</w:t>
      </w:r>
      <w:r w:rsidR="00DC3113">
        <w:rPr>
          <w:lang w:eastAsia="en-GB"/>
        </w:rPr>
        <w:t>2</w:t>
      </w:r>
      <w:r w:rsidR="00406B04">
        <w:rPr>
          <w:lang w:eastAsia="en-GB"/>
        </w:rPr>
        <w:t xml:space="preserve">) months </w:t>
      </w:r>
      <w:r>
        <w:rPr>
          <w:lang w:eastAsia="en-GB"/>
        </w:rPr>
        <w:t xml:space="preserve">from </w:t>
      </w:r>
      <w:r w:rsidR="00DC3113" w:rsidRPr="00DC3113">
        <w:rPr>
          <w:b/>
          <w:bCs/>
          <w:lang w:eastAsia="en-GB"/>
        </w:rPr>
        <w:t>14 February 2021 to 13 February 2022</w:t>
      </w:r>
      <w:r w:rsidR="00406B04">
        <w:rPr>
          <w:b/>
          <w:bCs/>
          <w:lang w:eastAsia="en-GB"/>
        </w:rPr>
        <w:t>.</w:t>
      </w:r>
    </w:p>
    <w:p w14:paraId="479F9428" w14:textId="77777777" w:rsidR="005C3D23" w:rsidRDefault="005C3D23" w:rsidP="005C3D23">
      <w:pPr>
        <w:pStyle w:val="HeadingB"/>
        <w:rPr>
          <w:sz w:val="24"/>
          <w:lang w:val="en-US"/>
        </w:rPr>
      </w:pPr>
      <w:r>
        <w:rPr>
          <w:sz w:val="24"/>
          <w:lang w:val="en-US"/>
        </w:rPr>
        <w:t>P</w:t>
      </w:r>
      <w:r w:rsidRPr="00AC741A">
        <w:rPr>
          <w:sz w:val="24"/>
          <w:lang w:val="en-US"/>
        </w:rPr>
        <w:t xml:space="preserve">roject </w:t>
      </w:r>
      <w:r>
        <w:rPr>
          <w:sz w:val="24"/>
          <w:lang w:val="en-US"/>
        </w:rPr>
        <w:t>Governance</w:t>
      </w:r>
    </w:p>
    <w:p w14:paraId="46B53FE2" w14:textId="4E267353" w:rsidR="005C3D23" w:rsidRDefault="005C3D23" w:rsidP="004C125D">
      <w:pPr>
        <w:spacing w:before="240" w:after="0"/>
        <w:jc w:val="both"/>
        <w:rPr>
          <w:rFonts w:cs="Arial"/>
          <w:szCs w:val="22"/>
        </w:rPr>
      </w:pPr>
      <w:bookmarkStart w:id="1" w:name="_Hlk51847641"/>
      <w:r w:rsidRPr="003F6A16">
        <w:rPr>
          <w:rFonts w:cs="Arial"/>
          <w:szCs w:val="22"/>
        </w:rPr>
        <w:t>Th</w:t>
      </w:r>
      <w:r>
        <w:rPr>
          <w:rFonts w:cs="Arial"/>
          <w:szCs w:val="22"/>
        </w:rPr>
        <w:t xml:space="preserve">is project will be supported by a Project Management Group (PMG) in the British Council who will play strategic advisory role to the lead researcher (Lead Institution) to be engaged to carry out the research. </w:t>
      </w:r>
    </w:p>
    <w:p w14:paraId="53E65DAF" w14:textId="77777777" w:rsidR="00DC3113" w:rsidRDefault="00DC3113" w:rsidP="004C125D">
      <w:pPr>
        <w:spacing w:before="240" w:after="0"/>
        <w:jc w:val="both"/>
        <w:rPr>
          <w:rFonts w:cs="Arial"/>
          <w:szCs w:val="22"/>
        </w:rPr>
      </w:pPr>
    </w:p>
    <w:p w14:paraId="3F8CEAB1" w14:textId="77777777" w:rsidR="00DC3113" w:rsidRDefault="00DC3113" w:rsidP="004C125D">
      <w:pPr>
        <w:rPr>
          <w:rFonts w:eastAsia="BritishCouncilSans-Regular" w:cs="BritishCouncilSans-Regular"/>
          <w:b/>
          <w:color w:val="230859" w:themeColor="text2"/>
          <w:lang w:eastAsia="en-GB"/>
        </w:rPr>
      </w:pPr>
      <w:r w:rsidRPr="00DC3113">
        <w:rPr>
          <w:rFonts w:eastAsia="BritishCouncilSans-Regular" w:cs="BritishCouncilSans-Regular"/>
          <w:b/>
          <w:color w:val="230859" w:themeColor="text2"/>
          <w:lang w:eastAsia="en-GB"/>
        </w:rPr>
        <w:t>Bangladesh Medical Education Baseline Research Grant</w:t>
      </w:r>
    </w:p>
    <w:p w14:paraId="7D89628E" w14:textId="390B77B3" w:rsidR="004C125D" w:rsidRPr="00EA237A" w:rsidRDefault="00EA237A" w:rsidP="004C125D">
      <w:pPr>
        <w:rPr>
          <w:rFonts w:eastAsia="Times New Roman" w:cs="Arial"/>
          <w:lang w:eastAsia="en-GB"/>
        </w:rPr>
      </w:pPr>
      <w:r w:rsidRPr="00EA237A">
        <w:rPr>
          <w:rFonts w:eastAsia="Times New Roman" w:cs="Arial"/>
          <w:lang w:eastAsia="en-GB"/>
        </w:rPr>
        <w:t xml:space="preserve">A grant </w:t>
      </w:r>
      <w:r w:rsidR="004C125D" w:rsidRPr="00EA237A">
        <w:rPr>
          <w:rFonts w:eastAsia="Times New Roman" w:cs="Arial"/>
          <w:lang w:eastAsia="en-GB"/>
        </w:rPr>
        <w:t>amounting to £</w:t>
      </w:r>
      <w:r w:rsidR="0037141D">
        <w:rPr>
          <w:rFonts w:eastAsia="Times New Roman" w:cs="Arial"/>
          <w:lang w:eastAsia="en-GB"/>
        </w:rPr>
        <w:t>100,000</w:t>
      </w:r>
      <w:r w:rsidR="004C125D" w:rsidRPr="00EA237A">
        <w:rPr>
          <w:rFonts w:eastAsia="Times New Roman" w:cs="Arial"/>
          <w:lang w:eastAsia="en-GB"/>
        </w:rPr>
        <w:t xml:space="preserve"> </w:t>
      </w:r>
      <w:r w:rsidRPr="00EA237A">
        <w:rPr>
          <w:rFonts w:eastAsia="Times New Roman" w:cs="Arial"/>
          <w:lang w:eastAsia="en-GB"/>
        </w:rPr>
        <w:t xml:space="preserve">is available </w:t>
      </w:r>
      <w:r w:rsidR="004C125D" w:rsidRPr="00EA237A">
        <w:rPr>
          <w:rFonts w:eastAsia="Times New Roman" w:cs="Arial"/>
          <w:lang w:eastAsia="en-GB"/>
        </w:rPr>
        <w:t xml:space="preserve">for a UK </w:t>
      </w:r>
      <w:r w:rsidR="005D4C21">
        <w:rPr>
          <w:rFonts w:eastAsia="Times New Roman" w:cs="Arial"/>
          <w:lang w:eastAsia="en-GB"/>
        </w:rPr>
        <w:t xml:space="preserve">higher education institution </w:t>
      </w:r>
      <w:r w:rsidR="004C125D" w:rsidRPr="00EA237A">
        <w:rPr>
          <w:rFonts w:eastAsia="Times New Roman" w:cs="Arial"/>
          <w:lang w:eastAsia="en-GB"/>
        </w:rPr>
        <w:t>to carry out the research</w:t>
      </w:r>
      <w:r w:rsidR="004C125D" w:rsidRPr="00EA237A">
        <w:rPr>
          <w:rStyle w:val="FootnoteReference"/>
          <w:rFonts w:eastAsia="Times New Roman" w:cs="Arial"/>
          <w:lang w:eastAsia="en-GB"/>
        </w:rPr>
        <w:footnoteReference w:id="1"/>
      </w:r>
      <w:r w:rsidR="004C125D" w:rsidRPr="00EA237A">
        <w:rPr>
          <w:rFonts w:eastAsia="Times New Roman" w:cs="Arial"/>
          <w:lang w:eastAsia="en-GB"/>
        </w:rPr>
        <w:t>.</w:t>
      </w:r>
      <w:r w:rsidR="004C125D" w:rsidRPr="00EA237A">
        <w:rPr>
          <w:rFonts w:cs="Arial"/>
          <w:lang w:eastAsia="en-GB"/>
        </w:rPr>
        <w:t xml:space="preserve"> </w:t>
      </w:r>
      <w:r w:rsidR="004C125D" w:rsidRPr="00EA237A">
        <w:rPr>
          <w:rFonts w:eastAsia="Times New Roman" w:cs="Arial"/>
          <w:lang w:eastAsia="en-GB"/>
        </w:rPr>
        <w:t>This is a one-time grant to be awarded to a single UK institution.</w:t>
      </w:r>
    </w:p>
    <w:p w14:paraId="2D90B32E" w14:textId="77777777" w:rsidR="0037141D" w:rsidRDefault="0037141D" w:rsidP="0037141D">
      <w:r>
        <w:t xml:space="preserve">Through this scheme, we aim to facilitate the production of research in the Official Development Assistance (ODA) context to benefit the international education sector. </w:t>
      </w:r>
    </w:p>
    <w:p w14:paraId="6F064C3C" w14:textId="35693D67" w:rsidR="00560B7B" w:rsidRPr="00E639A0" w:rsidRDefault="00560B7B" w:rsidP="0037141D">
      <w:pPr>
        <w:rPr>
          <w:rFonts w:cs="Arial"/>
        </w:rPr>
      </w:pPr>
      <w:r>
        <w:t xml:space="preserve">Call for Application for this research grant will be issued in </w:t>
      </w:r>
      <w:r w:rsidR="0037141D">
        <w:t>December</w:t>
      </w:r>
      <w:r>
        <w:t xml:space="preserve"> 2020. The research grant is expected to be delivered for eighteen (1</w:t>
      </w:r>
      <w:r w:rsidR="0037141D">
        <w:t>2</w:t>
      </w:r>
      <w:r>
        <w:t xml:space="preserve">) months from </w:t>
      </w:r>
      <w:r w:rsidR="0037141D" w:rsidRPr="0037141D">
        <w:t>14 February 2021 to 13 February 2022</w:t>
      </w:r>
      <w:r>
        <w:t xml:space="preserve">. </w:t>
      </w:r>
    </w:p>
    <w:bookmarkEnd w:id="1"/>
    <w:p w14:paraId="374132DF" w14:textId="14EC73E2" w:rsidR="005C3D23" w:rsidRDefault="0037141D" w:rsidP="0037141D">
      <w:pPr>
        <w:pStyle w:val="HeadingB"/>
        <w:rPr>
          <w:rFonts w:cs="Arial"/>
          <w:i/>
          <w:szCs w:val="22"/>
        </w:rPr>
      </w:pPr>
      <w:r>
        <w:rPr>
          <w:rFonts w:cs="Arial"/>
          <w:i/>
          <w:szCs w:val="22"/>
        </w:rPr>
        <w:t xml:space="preserve"> </w:t>
      </w:r>
    </w:p>
    <w:p w14:paraId="1B452550" w14:textId="6959DC62" w:rsidR="005C3D23" w:rsidRDefault="005C3D23" w:rsidP="00AC741A">
      <w:pPr>
        <w:rPr>
          <w:rFonts w:cs="Arial"/>
        </w:rPr>
      </w:pPr>
    </w:p>
    <w:p w14:paraId="37688B52" w14:textId="40B59BF6" w:rsidR="00326A35" w:rsidRDefault="00326A35" w:rsidP="00AC741A">
      <w:pPr>
        <w:rPr>
          <w:rFonts w:cs="Arial"/>
        </w:rPr>
      </w:pPr>
    </w:p>
    <w:p w14:paraId="122CF7AC" w14:textId="62264A03" w:rsidR="00326A35" w:rsidRDefault="00326A35" w:rsidP="00AC741A">
      <w:pPr>
        <w:rPr>
          <w:rFonts w:cs="Arial"/>
        </w:rPr>
      </w:pPr>
    </w:p>
    <w:p w14:paraId="71F24EB2" w14:textId="77C1FB4C" w:rsidR="00326A35" w:rsidRDefault="00326A35" w:rsidP="00AC741A">
      <w:pPr>
        <w:rPr>
          <w:rFonts w:cs="Arial"/>
        </w:rPr>
      </w:pPr>
    </w:p>
    <w:p w14:paraId="67D27D88" w14:textId="1126AC0A" w:rsidR="00326A35" w:rsidRDefault="00326A35" w:rsidP="00AC741A">
      <w:pPr>
        <w:rPr>
          <w:rFonts w:cs="Arial"/>
        </w:rPr>
      </w:pPr>
    </w:p>
    <w:p w14:paraId="13A2C91D" w14:textId="670A09F7" w:rsidR="00326A35" w:rsidRDefault="00326A35" w:rsidP="00AC741A">
      <w:pPr>
        <w:rPr>
          <w:rFonts w:cs="Arial"/>
        </w:rPr>
      </w:pPr>
    </w:p>
    <w:p w14:paraId="072D3DEC" w14:textId="6DAD3D81" w:rsidR="00326A35" w:rsidRDefault="00326A35" w:rsidP="00AC741A">
      <w:pPr>
        <w:rPr>
          <w:rFonts w:cs="Arial"/>
        </w:rPr>
      </w:pPr>
    </w:p>
    <w:p w14:paraId="2A1D759A" w14:textId="4735529C" w:rsidR="00326A35" w:rsidRDefault="00326A35" w:rsidP="00AC741A">
      <w:pPr>
        <w:rPr>
          <w:rFonts w:cs="Arial"/>
        </w:rPr>
      </w:pPr>
    </w:p>
    <w:p w14:paraId="093BE935" w14:textId="77777777" w:rsidR="00326A35" w:rsidRPr="005C3D23" w:rsidRDefault="00326A35" w:rsidP="00AC741A">
      <w:pPr>
        <w:rPr>
          <w:rFonts w:cs="Arial"/>
        </w:rPr>
      </w:pPr>
    </w:p>
    <w:sectPr w:rsidR="00326A35" w:rsidRPr="005C3D23" w:rsidSect="00313C38">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260"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4991" w14:textId="77777777" w:rsidR="00A73936" w:rsidRDefault="00A73936" w:rsidP="004E0F0F">
      <w:pPr>
        <w:spacing w:after="0" w:line="240" w:lineRule="auto"/>
      </w:pPr>
      <w:r>
        <w:separator/>
      </w:r>
    </w:p>
  </w:endnote>
  <w:endnote w:type="continuationSeparator" w:id="0">
    <w:p w14:paraId="4D366906" w14:textId="77777777" w:rsidR="00A73936" w:rsidRDefault="00A73936"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7F88" w14:textId="77777777" w:rsidR="0037141D" w:rsidRDefault="0037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DACB" w14:textId="77777777" w:rsidR="0037141D" w:rsidRDefault="00371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2C80"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EDFC" w14:textId="77777777" w:rsidR="00A73936" w:rsidRDefault="00A73936" w:rsidP="004E0F0F">
      <w:pPr>
        <w:spacing w:after="0" w:line="240" w:lineRule="auto"/>
      </w:pPr>
      <w:r>
        <w:separator/>
      </w:r>
    </w:p>
  </w:footnote>
  <w:footnote w:type="continuationSeparator" w:id="0">
    <w:p w14:paraId="3405C068" w14:textId="77777777" w:rsidR="00A73936" w:rsidRDefault="00A73936" w:rsidP="004E0F0F">
      <w:pPr>
        <w:spacing w:after="0" w:line="240" w:lineRule="auto"/>
      </w:pPr>
      <w:r>
        <w:continuationSeparator/>
      </w:r>
    </w:p>
  </w:footnote>
  <w:footnote w:id="1">
    <w:p w14:paraId="4629DE1B" w14:textId="77777777" w:rsidR="004C125D" w:rsidRDefault="004C125D" w:rsidP="004C125D">
      <w:r>
        <w:rPr>
          <w:rStyle w:val="FootnoteReference"/>
        </w:rPr>
        <w:footnoteRef/>
      </w:r>
      <w:r>
        <w:t xml:space="preserve"> </w:t>
      </w:r>
      <w:r w:rsidRPr="007E4058">
        <w:rPr>
          <w:sz w:val="20"/>
          <w:szCs w:val="20"/>
        </w:rPr>
        <w:t>We define research as original investigation undertaken in order to gain knowledge and understanding.</w:t>
      </w:r>
    </w:p>
    <w:p w14:paraId="4F3A8D98" w14:textId="77777777" w:rsidR="004C125D" w:rsidRPr="007E4058" w:rsidRDefault="004C125D" w:rsidP="004C125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62F4" w14:textId="77777777" w:rsidR="0037141D" w:rsidRDefault="00371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9DD2"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37BE40C4" wp14:editId="18C781A9">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0C837160"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" strokecolor="#5deb4b [3209]"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3D74" w14:textId="77777777" w:rsidR="003855BB" w:rsidRDefault="003855BB">
    <w:pPr>
      <w:pStyle w:val="Header"/>
    </w:pPr>
    <w:r>
      <w:rPr>
        <w:noProof/>
        <w:lang w:val="en-US"/>
      </w:rPr>
      <w:drawing>
        <wp:anchor distT="0" distB="424815" distL="114300" distR="114300" simplePos="0" relativeHeight="251670528" behindDoc="0" locked="0" layoutInCell="1" allowOverlap="1" wp14:anchorId="38C5FDCC" wp14:editId="1EA646F0">
          <wp:simplePos x="0" y="0"/>
          <wp:positionH relativeFrom="page">
            <wp:posOffset>540385</wp:posOffset>
          </wp:positionH>
          <wp:positionV relativeFrom="page">
            <wp:posOffset>540385</wp:posOffset>
          </wp:positionV>
          <wp:extent cx="1472400" cy="4248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DF7"/>
    <w:multiLevelType w:val="hybridMultilevel"/>
    <w:tmpl w:val="BC580BC4"/>
    <w:lvl w:ilvl="0" w:tplc="E23CD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A02"/>
    <w:multiLevelType w:val="hybridMultilevel"/>
    <w:tmpl w:val="1CB0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77FA8"/>
    <w:multiLevelType w:val="hybridMultilevel"/>
    <w:tmpl w:val="42BA386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B4C85"/>
    <w:multiLevelType w:val="hybridMultilevel"/>
    <w:tmpl w:val="6040169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E355A"/>
    <w:multiLevelType w:val="hybridMultilevel"/>
    <w:tmpl w:val="FF82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05706"/>
    <w:multiLevelType w:val="hybridMultilevel"/>
    <w:tmpl w:val="81E2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5666F3"/>
    <w:multiLevelType w:val="hybridMultilevel"/>
    <w:tmpl w:val="6562D31C"/>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7" w15:restartNumberingAfterBreak="0">
    <w:nsid w:val="2D7D57A2"/>
    <w:multiLevelType w:val="hybridMultilevel"/>
    <w:tmpl w:val="46861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DD04DE"/>
    <w:multiLevelType w:val="hybridMultilevel"/>
    <w:tmpl w:val="B546D30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3B403C4B"/>
    <w:multiLevelType w:val="hybridMultilevel"/>
    <w:tmpl w:val="703ADE2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D74575C"/>
    <w:multiLevelType w:val="hybridMultilevel"/>
    <w:tmpl w:val="59BCF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797D4C"/>
    <w:multiLevelType w:val="hybridMultilevel"/>
    <w:tmpl w:val="EDCE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01C5C"/>
    <w:multiLevelType w:val="hybridMultilevel"/>
    <w:tmpl w:val="79345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43496F"/>
    <w:multiLevelType w:val="hybridMultilevel"/>
    <w:tmpl w:val="FB6CF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1F0137"/>
    <w:multiLevelType w:val="hybridMultilevel"/>
    <w:tmpl w:val="7BC0FF88"/>
    <w:lvl w:ilvl="0" w:tplc="EA00AFF2">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 w15:restartNumberingAfterBreak="0">
    <w:nsid w:val="4A957DB9"/>
    <w:multiLevelType w:val="hybridMultilevel"/>
    <w:tmpl w:val="DB78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74E0D"/>
    <w:multiLevelType w:val="hybridMultilevel"/>
    <w:tmpl w:val="C30E7AC8"/>
    <w:lvl w:ilvl="0" w:tplc="EF4E26A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D45ED0"/>
    <w:multiLevelType w:val="hybridMultilevel"/>
    <w:tmpl w:val="5A24A980"/>
    <w:lvl w:ilvl="0" w:tplc="023C021E">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50687638"/>
    <w:multiLevelType w:val="hybridMultilevel"/>
    <w:tmpl w:val="D6B80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DA2490"/>
    <w:multiLevelType w:val="hybridMultilevel"/>
    <w:tmpl w:val="B3A2E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531BF5"/>
    <w:multiLevelType w:val="hybridMultilevel"/>
    <w:tmpl w:val="5BBA83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4132F"/>
    <w:multiLevelType w:val="hybridMultilevel"/>
    <w:tmpl w:val="10003446"/>
    <w:lvl w:ilvl="0" w:tplc="A87E6A9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350B6E"/>
    <w:multiLevelType w:val="hybridMultilevel"/>
    <w:tmpl w:val="50C86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8151AF"/>
    <w:multiLevelType w:val="hybridMultilevel"/>
    <w:tmpl w:val="6B14637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23996"/>
    <w:multiLevelType w:val="hybridMultilevel"/>
    <w:tmpl w:val="E67CA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1E49C6"/>
    <w:multiLevelType w:val="hybridMultilevel"/>
    <w:tmpl w:val="D0D04C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A0F9D"/>
    <w:multiLevelType w:val="hybridMultilevel"/>
    <w:tmpl w:val="DCEAB1D8"/>
    <w:lvl w:ilvl="0" w:tplc="3496BCD0">
      <w:start w:val="1"/>
      <w:numFmt w:val="bullet"/>
      <w:pStyle w:val="SubBullets"/>
      <w:lvlText w:val=""/>
      <w:lvlJc w:val="left"/>
      <w:pPr>
        <w:ind w:left="644" w:hanging="360"/>
      </w:pPr>
      <w:rPr>
        <w:rFonts w:ascii="Symbol" w:hAnsi="Symbol" w:hint="default"/>
        <w:color w:val="5DEB4B"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4463D"/>
    <w:multiLevelType w:val="hybridMultilevel"/>
    <w:tmpl w:val="9292567E"/>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321D7C"/>
    <w:multiLevelType w:val="hybridMultilevel"/>
    <w:tmpl w:val="4792421A"/>
    <w:lvl w:ilvl="0" w:tplc="62780D70">
      <w:start w:val="1"/>
      <w:numFmt w:val="bullet"/>
      <w:pStyle w:val="Bullets"/>
      <w:lvlText w:val=""/>
      <w:lvlJc w:val="left"/>
      <w:pPr>
        <w:ind w:left="360" w:hanging="360"/>
      </w:pPr>
      <w:rPr>
        <w:rFonts w:ascii="Symbol" w:hAnsi="Symbol" w:hint="default"/>
        <w:color w:val="5DEB4B"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6"/>
  </w:num>
  <w:num w:numId="4">
    <w:abstractNumId w:val="17"/>
  </w:num>
  <w:num w:numId="5">
    <w:abstractNumId w:val="9"/>
  </w:num>
  <w:num w:numId="6">
    <w:abstractNumId w:val="10"/>
  </w:num>
  <w:num w:numId="7">
    <w:abstractNumId w:val="22"/>
  </w:num>
  <w:num w:numId="8">
    <w:abstractNumId w:val="24"/>
  </w:num>
  <w:num w:numId="9">
    <w:abstractNumId w:val="2"/>
  </w:num>
  <w:num w:numId="10">
    <w:abstractNumId w:val="3"/>
  </w:num>
  <w:num w:numId="11">
    <w:abstractNumId w:val="12"/>
  </w:num>
  <w:num w:numId="12">
    <w:abstractNumId w:val="0"/>
  </w:num>
  <w:num w:numId="13">
    <w:abstractNumId w:val="20"/>
  </w:num>
  <w:num w:numId="14">
    <w:abstractNumId w:val="14"/>
  </w:num>
  <w:num w:numId="15">
    <w:abstractNumId w:val="6"/>
  </w:num>
  <w:num w:numId="16">
    <w:abstractNumId w:val="8"/>
  </w:num>
  <w:num w:numId="17">
    <w:abstractNumId w:val="27"/>
  </w:num>
  <w:num w:numId="18">
    <w:abstractNumId w:val="15"/>
  </w:num>
  <w:num w:numId="19">
    <w:abstractNumId w:val="4"/>
  </w:num>
  <w:num w:numId="20">
    <w:abstractNumId w:val="18"/>
  </w:num>
  <w:num w:numId="21">
    <w:abstractNumId w:val="23"/>
  </w:num>
  <w:num w:numId="22">
    <w:abstractNumId w:val="13"/>
  </w:num>
  <w:num w:numId="23">
    <w:abstractNumId w:val="19"/>
  </w:num>
  <w:num w:numId="24">
    <w:abstractNumId w:val="5"/>
  </w:num>
  <w:num w:numId="25">
    <w:abstractNumId w:val="16"/>
  </w:num>
  <w:num w:numId="26">
    <w:abstractNumId w:val="7"/>
  </w:num>
  <w:num w:numId="27">
    <w:abstractNumId w:val="11"/>
  </w:num>
  <w:num w:numId="28">
    <w:abstractNumId w:val="1"/>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TrueType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B4"/>
    <w:rsid w:val="000171EB"/>
    <w:rsid w:val="0002522D"/>
    <w:rsid w:val="00057600"/>
    <w:rsid w:val="0007372D"/>
    <w:rsid w:val="00092917"/>
    <w:rsid w:val="00095EC6"/>
    <w:rsid w:val="000A26DD"/>
    <w:rsid w:val="000E43B1"/>
    <w:rsid w:val="000E486C"/>
    <w:rsid w:val="000E7F5E"/>
    <w:rsid w:val="001014BE"/>
    <w:rsid w:val="0011223B"/>
    <w:rsid w:val="00122326"/>
    <w:rsid w:val="00124468"/>
    <w:rsid w:val="0013070B"/>
    <w:rsid w:val="001565A5"/>
    <w:rsid w:val="00166ED8"/>
    <w:rsid w:val="00187F9D"/>
    <w:rsid w:val="001A2060"/>
    <w:rsid w:val="001B2E1D"/>
    <w:rsid w:val="001F2942"/>
    <w:rsid w:val="001F5C75"/>
    <w:rsid w:val="00200217"/>
    <w:rsid w:val="00214911"/>
    <w:rsid w:val="00215EC6"/>
    <w:rsid w:val="00223AEB"/>
    <w:rsid w:val="0024422B"/>
    <w:rsid w:val="0024436A"/>
    <w:rsid w:val="00247AAD"/>
    <w:rsid w:val="002542F1"/>
    <w:rsid w:val="00271072"/>
    <w:rsid w:val="00286579"/>
    <w:rsid w:val="00297B4F"/>
    <w:rsid w:val="002B11B0"/>
    <w:rsid w:val="002B73E1"/>
    <w:rsid w:val="002C0274"/>
    <w:rsid w:val="002D4364"/>
    <w:rsid w:val="003029E5"/>
    <w:rsid w:val="00305D54"/>
    <w:rsid w:val="00313C38"/>
    <w:rsid w:val="003140C7"/>
    <w:rsid w:val="003147B4"/>
    <w:rsid w:val="00325B78"/>
    <w:rsid w:val="00326A35"/>
    <w:rsid w:val="0035613D"/>
    <w:rsid w:val="00357565"/>
    <w:rsid w:val="0037141D"/>
    <w:rsid w:val="00381494"/>
    <w:rsid w:val="003855BB"/>
    <w:rsid w:val="003B7E11"/>
    <w:rsid w:val="003E06BA"/>
    <w:rsid w:val="003F3A5C"/>
    <w:rsid w:val="00402592"/>
    <w:rsid w:val="00404E7A"/>
    <w:rsid w:val="0040649C"/>
    <w:rsid w:val="00406B04"/>
    <w:rsid w:val="00410856"/>
    <w:rsid w:val="0041485A"/>
    <w:rsid w:val="00442F87"/>
    <w:rsid w:val="00445A85"/>
    <w:rsid w:val="00480D58"/>
    <w:rsid w:val="004C125D"/>
    <w:rsid w:val="004D7A82"/>
    <w:rsid w:val="004E0F0F"/>
    <w:rsid w:val="004E574F"/>
    <w:rsid w:val="004E5B59"/>
    <w:rsid w:val="004F0981"/>
    <w:rsid w:val="004F3BA9"/>
    <w:rsid w:val="004F3CAA"/>
    <w:rsid w:val="004F7ED5"/>
    <w:rsid w:val="00504D25"/>
    <w:rsid w:val="00505A09"/>
    <w:rsid w:val="00515084"/>
    <w:rsid w:val="005155AE"/>
    <w:rsid w:val="00527637"/>
    <w:rsid w:val="00530467"/>
    <w:rsid w:val="00560B7B"/>
    <w:rsid w:val="00562CF9"/>
    <w:rsid w:val="00582C2F"/>
    <w:rsid w:val="0058704A"/>
    <w:rsid w:val="005900A5"/>
    <w:rsid w:val="005B2BC2"/>
    <w:rsid w:val="005C3D23"/>
    <w:rsid w:val="005D4C21"/>
    <w:rsid w:val="006049E1"/>
    <w:rsid w:val="006060BD"/>
    <w:rsid w:val="0062643D"/>
    <w:rsid w:val="006445DA"/>
    <w:rsid w:val="00644CC4"/>
    <w:rsid w:val="00647E9D"/>
    <w:rsid w:val="0067191C"/>
    <w:rsid w:val="00677C6D"/>
    <w:rsid w:val="00680380"/>
    <w:rsid w:val="006C2629"/>
    <w:rsid w:val="006F17D0"/>
    <w:rsid w:val="00734B0C"/>
    <w:rsid w:val="00743AE8"/>
    <w:rsid w:val="00770629"/>
    <w:rsid w:val="0078055D"/>
    <w:rsid w:val="007B6BFD"/>
    <w:rsid w:val="007C4D76"/>
    <w:rsid w:val="007E4D04"/>
    <w:rsid w:val="007E742F"/>
    <w:rsid w:val="007F030E"/>
    <w:rsid w:val="007F7743"/>
    <w:rsid w:val="00804D01"/>
    <w:rsid w:val="00806207"/>
    <w:rsid w:val="00815A1B"/>
    <w:rsid w:val="008529F8"/>
    <w:rsid w:val="00863C81"/>
    <w:rsid w:val="008942F1"/>
    <w:rsid w:val="008A4222"/>
    <w:rsid w:val="008B029C"/>
    <w:rsid w:val="008C0629"/>
    <w:rsid w:val="008E0FBB"/>
    <w:rsid w:val="00921D17"/>
    <w:rsid w:val="0093045E"/>
    <w:rsid w:val="00942B47"/>
    <w:rsid w:val="00945F08"/>
    <w:rsid w:val="00974E6B"/>
    <w:rsid w:val="009810F2"/>
    <w:rsid w:val="009837E5"/>
    <w:rsid w:val="00992F55"/>
    <w:rsid w:val="009A1ADA"/>
    <w:rsid w:val="009E1205"/>
    <w:rsid w:val="009F06E4"/>
    <w:rsid w:val="009F0B50"/>
    <w:rsid w:val="00A0776B"/>
    <w:rsid w:val="00A20B81"/>
    <w:rsid w:val="00A33158"/>
    <w:rsid w:val="00A46111"/>
    <w:rsid w:val="00A55B8E"/>
    <w:rsid w:val="00A7218F"/>
    <w:rsid w:val="00A73936"/>
    <w:rsid w:val="00A75B0F"/>
    <w:rsid w:val="00A82D03"/>
    <w:rsid w:val="00AA001A"/>
    <w:rsid w:val="00AB21F3"/>
    <w:rsid w:val="00AB6BFE"/>
    <w:rsid w:val="00AC741A"/>
    <w:rsid w:val="00AD166D"/>
    <w:rsid w:val="00AF1C59"/>
    <w:rsid w:val="00AF723F"/>
    <w:rsid w:val="00B030FD"/>
    <w:rsid w:val="00B13927"/>
    <w:rsid w:val="00B227CE"/>
    <w:rsid w:val="00B26E40"/>
    <w:rsid w:val="00B30BDC"/>
    <w:rsid w:val="00B461A7"/>
    <w:rsid w:val="00B53093"/>
    <w:rsid w:val="00B6727E"/>
    <w:rsid w:val="00BB47AA"/>
    <w:rsid w:val="00BC4CC5"/>
    <w:rsid w:val="00BC5423"/>
    <w:rsid w:val="00BD4B28"/>
    <w:rsid w:val="00C1299F"/>
    <w:rsid w:val="00C17F56"/>
    <w:rsid w:val="00C41310"/>
    <w:rsid w:val="00C5378A"/>
    <w:rsid w:val="00C647EF"/>
    <w:rsid w:val="00CE1C5C"/>
    <w:rsid w:val="00CE44B2"/>
    <w:rsid w:val="00CF0F5F"/>
    <w:rsid w:val="00D01DA2"/>
    <w:rsid w:val="00D547EE"/>
    <w:rsid w:val="00D565F5"/>
    <w:rsid w:val="00D57CAD"/>
    <w:rsid w:val="00D72CD3"/>
    <w:rsid w:val="00DA2A8F"/>
    <w:rsid w:val="00DA42E6"/>
    <w:rsid w:val="00DA566C"/>
    <w:rsid w:val="00DC3113"/>
    <w:rsid w:val="00E47370"/>
    <w:rsid w:val="00E55949"/>
    <w:rsid w:val="00E57FE2"/>
    <w:rsid w:val="00E9411F"/>
    <w:rsid w:val="00E96DCD"/>
    <w:rsid w:val="00EA1EA7"/>
    <w:rsid w:val="00EA237A"/>
    <w:rsid w:val="00ED0DD6"/>
    <w:rsid w:val="00F3122A"/>
    <w:rsid w:val="00F5249D"/>
    <w:rsid w:val="00F530BF"/>
    <w:rsid w:val="00F617D2"/>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C3821"/>
  <w14:defaultImageDpi w14:val="330"/>
  <w15:docId w15:val="{687165FE-D39A-41EF-94D5-1AAF69DB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B6BFE"/>
    <w:pPr>
      <w:numPr>
        <w:numId w:val="2"/>
      </w:numPr>
      <w:spacing w:after="120" w:line="276" w:lineRule="auto"/>
      <w:ind w:left="1080"/>
    </w:pPr>
    <w:rPr>
      <w:rFonts w:ascii="Arial" w:hAnsi="Arial"/>
    </w:rPr>
  </w:style>
  <w:style w:type="paragraph" w:customStyle="1" w:styleId="SubBullets">
    <w:name w:val="Sub Bullets"/>
    <w:qFormat/>
    <w:rsid w:val="00AB6BFE"/>
    <w:pPr>
      <w:numPr>
        <w:numId w:val="3"/>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0A26DD"/>
    <w:pPr>
      <w:spacing w:after="480"/>
    </w:pPr>
    <w:rPr>
      <w:b/>
      <w:color w:val="5DEB4B" w:themeColor="accent6"/>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Paragraph">
    <w:name w:val="List Paragraph"/>
    <w:aliases w:val="RedR Bullet List,Dot pt,F5 List Paragraph,List Paragraph1,No Spacing1,List Paragraph Char Char Char,Indicator Text,Numbered Para 1,Bullet 1,List Paragraph12,Bullet Points,MAIN CONTENT,Colorful List - Accent 11,List Paragraph11,OBC Bullet"/>
    <w:basedOn w:val="Normal"/>
    <w:link w:val="ListParagraphChar"/>
    <w:uiPriority w:val="34"/>
    <w:qFormat/>
    <w:rsid w:val="00AB6BFE"/>
    <w:pPr>
      <w:numPr>
        <w:numId w:val="1"/>
      </w:numPr>
      <w:contextualSpacing/>
    </w:pPr>
  </w:style>
  <w:style w:type="paragraph" w:styleId="ListNumber">
    <w:name w:val="List Number"/>
    <w:basedOn w:val="Normal"/>
    <w:uiPriority w:val="99"/>
    <w:unhideWhenUsed/>
    <w:qFormat/>
    <w:rsid w:val="00AB6BFE"/>
    <w:pPr>
      <w:numPr>
        <w:numId w:val="4"/>
      </w:numPr>
      <w:ind w:left="720" w:hanging="357"/>
    </w:pPr>
  </w:style>
  <w:style w:type="character" w:styleId="Hyperlink">
    <w:name w:val="Hyperlink"/>
    <w:basedOn w:val="DefaultParagraphFont"/>
    <w:uiPriority w:val="99"/>
    <w:unhideWhenUsed/>
    <w:rsid w:val="003147B4"/>
    <w:rPr>
      <w:color w:val="FF00C8" w:themeColor="hyperlink"/>
      <w:u w:val="single"/>
    </w:rPr>
  </w:style>
  <w:style w:type="character" w:styleId="PlaceholderText">
    <w:name w:val="Placeholder Text"/>
    <w:basedOn w:val="DefaultParagraphFont"/>
    <w:uiPriority w:val="99"/>
    <w:semiHidden/>
    <w:rsid w:val="003147B4"/>
    <w:rPr>
      <w:color w:val="808080"/>
    </w:rPr>
  </w:style>
  <w:style w:type="paragraph" w:styleId="NormalWeb">
    <w:name w:val="Normal (Web)"/>
    <w:basedOn w:val="Normal"/>
    <w:uiPriority w:val="99"/>
    <w:unhideWhenUsed/>
    <w:rsid w:val="003147B4"/>
    <w:pPr>
      <w:spacing w:before="100" w:beforeAutospacing="1" w:after="100" w:afterAutospacing="1" w:line="240" w:lineRule="auto"/>
    </w:pPr>
    <w:rPr>
      <w:rFonts w:ascii="Times New Roman" w:eastAsia="Times New Roman" w:hAnsi="Times New Roman" w:cs="Times New Roman"/>
      <w:lang w:eastAsia="en-GB"/>
    </w:rPr>
  </w:style>
  <w:style w:type="table" w:styleId="GridTable3-Accent6">
    <w:name w:val="Grid Table 3 Accent 6"/>
    <w:basedOn w:val="TableNormal"/>
    <w:uiPriority w:val="48"/>
    <w:rsid w:val="003147B4"/>
    <w:tblPr>
      <w:tblStyleRowBandSize w:val="1"/>
      <w:tblStyleColBandSize w:val="1"/>
      <w:tblBorders>
        <w:top w:val="single" w:sz="4" w:space="0" w:color="9DF393" w:themeColor="accent6" w:themeTint="99"/>
        <w:left w:val="single" w:sz="4" w:space="0" w:color="9DF393" w:themeColor="accent6" w:themeTint="99"/>
        <w:bottom w:val="single" w:sz="4" w:space="0" w:color="9DF393" w:themeColor="accent6" w:themeTint="99"/>
        <w:right w:val="single" w:sz="4" w:space="0" w:color="9DF393" w:themeColor="accent6" w:themeTint="99"/>
        <w:insideH w:val="single" w:sz="4" w:space="0" w:color="9DF393" w:themeColor="accent6" w:themeTint="99"/>
        <w:insideV w:val="single" w:sz="4" w:space="0" w:color="9DF39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DB" w:themeFill="accent6" w:themeFillTint="33"/>
      </w:tcPr>
    </w:tblStylePr>
    <w:tblStylePr w:type="band1Horz">
      <w:tblPr/>
      <w:tcPr>
        <w:shd w:val="clear" w:color="auto" w:fill="DEFBDB" w:themeFill="accent6" w:themeFillTint="33"/>
      </w:tcPr>
    </w:tblStylePr>
    <w:tblStylePr w:type="neCell">
      <w:tblPr/>
      <w:tcPr>
        <w:tcBorders>
          <w:bottom w:val="single" w:sz="4" w:space="0" w:color="9DF393" w:themeColor="accent6" w:themeTint="99"/>
        </w:tcBorders>
      </w:tcPr>
    </w:tblStylePr>
    <w:tblStylePr w:type="nwCell">
      <w:tblPr/>
      <w:tcPr>
        <w:tcBorders>
          <w:bottom w:val="single" w:sz="4" w:space="0" w:color="9DF393" w:themeColor="accent6" w:themeTint="99"/>
        </w:tcBorders>
      </w:tcPr>
    </w:tblStylePr>
    <w:tblStylePr w:type="seCell">
      <w:tblPr/>
      <w:tcPr>
        <w:tcBorders>
          <w:top w:val="single" w:sz="4" w:space="0" w:color="9DF393" w:themeColor="accent6" w:themeTint="99"/>
        </w:tcBorders>
      </w:tcPr>
    </w:tblStylePr>
    <w:tblStylePr w:type="swCell">
      <w:tblPr/>
      <w:tcPr>
        <w:tcBorders>
          <w:top w:val="single" w:sz="4" w:space="0" w:color="9DF393" w:themeColor="accent6" w:themeTint="99"/>
        </w:tcBorders>
      </w:tcPr>
    </w:tblStylePr>
  </w:style>
  <w:style w:type="table" w:styleId="GridTable1Light-Accent6">
    <w:name w:val="Grid Table 1 Light Accent 6"/>
    <w:basedOn w:val="TableNormal"/>
    <w:uiPriority w:val="46"/>
    <w:rsid w:val="003147B4"/>
    <w:tblPr>
      <w:tblStyleRowBandSize w:val="1"/>
      <w:tblStyleColBandSize w:val="1"/>
      <w:tblBorders>
        <w:top w:val="single" w:sz="4" w:space="0" w:color="BEF7B7" w:themeColor="accent6" w:themeTint="66"/>
        <w:left w:val="single" w:sz="4" w:space="0" w:color="BEF7B7" w:themeColor="accent6" w:themeTint="66"/>
        <w:bottom w:val="single" w:sz="4" w:space="0" w:color="BEF7B7" w:themeColor="accent6" w:themeTint="66"/>
        <w:right w:val="single" w:sz="4" w:space="0" w:color="BEF7B7" w:themeColor="accent6" w:themeTint="66"/>
        <w:insideH w:val="single" w:sz="4" w:space="0" w:color="BEF7B7" w:themeColor="accent6" w:themeTint="66"/>
        <w:insideV w:val="single" w:sz="4" w:space="0" w:color="BEF7B7" w:themeColor="accent6" w:themeTint="66"/>
      </w:tblBorders>
    </w:tblPr>
    <w:tblStylePr w:type="firstRow">
      <w:rPr>
        <w:b/>
        <w:bCs/>
      </w:rPr>
      <w:tblPr/>
      <w:tcPr>
        <w:tcBorders>
          <w:bottom w:val="single" w:sz="12" w:space="0" w:color="9DF393" w:themeColor="accent6" w:themeTint="99"/>
        </w:tcBorders>
      </w:tcPr>
    </w:tblStylePr>
    <w:tblStylePr w:type="lastRow">
      <w:rPr>
        <w:b/>
        <w:bCs/>
      </w:rPr>
      <w:tblPr/>
      <w:tcPr>
        <w:tcBorders>
          <w:top w:val="double" w:sz="2" w:space="0" w:color="9DF393"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3147B4"/>
    <w:rPr>
      <w:sz w:val="16"/>
      <w:szCs w:val="16"/>
    </w:rPr>
  </w:style>
  <w:style w:type="paragraph" w:styleId="CommentText">
    <w:name w:val="annotation text"/>
    <w:basedOn w:val="Normal"/>
    <w:link w:val="CommentTextChar"/>
    <w:unhideWhenUsed/>
    <w:rsid w:val="003147B4"/>
    <w:pPr>
      <w:spacing w:line="240" w:lineRule="auto"/>
    </w:pPr>
    <w:rPr>
      <w:sz w:val="20"/>
      <w:szCs w:val="20"/>
    </w:rPr>
  </w:style>
  <w:style w:type="character" w:customStyle="1" w:styleId="CommentTextChar">
    <w:name w:val="Comment Text Char"/>
    <w:basedOn w:val="DefaultParagraphFont"/>
    <w:link w:val="CommentText"/>
    <w:rsid w:val="00314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47B4"/>
    <w:rPr>
      <w:b/>
      <w:bCs/>
    </w:rPr>
  </w:style>
  <w:style w:type="character" w:customStyle="1" w:styleId="CommentSubjectChar">
    <w:name w:val="Comment Subject Char"/>
    <w:basedOn w:val="CommentTextChar"/>
    <w:link w:val="CommentSubject"/>
    <w:uiPriority w:val="99"/>
    <w:semiHidden/>
    <w:rsid w:val="003147B4"/>
    <w:rPr>
      <w:rFonts w:ascii="Arial" w:hAnsi="Arial"/>
      <w:b/>
      <w:bCs/>
      <w:sz w:val="20"/>
      <w:szCs w:val="20"/>
    </w:rPr>
  </w:style>
  <w:style w:type="paragraph" w:styleId="FootnoteText">
    <w:name w:val="footnote text"/>
    <w:basedOn w:val="Normal"/>
    <w:link w:val="FootnoteTextChar"/>
    <w:unhideWhenUsed/>
    <w:rsid w:val="008E0FBB"/>
    <w:pPr>
      <w:spacing w:after="0" w:line="240" w:lineRule="auto"/>
    </w:pPr>
    <w:rPr>
      <w:sz w:val="20"/>
      <w:szCs w:val="20"/>
    </w:rPr>
  </w:style>
  <w:style w:type="character" w:customStyle="1" w:styleId="FootnoteTextChar">
    <w:name w:val="Footnote Text Char"/>
    <w:basedOn w:val="DefaultParagraphFont"/>
    <w:link w:val="FootnoteText"/>
    <w:rsid w:val="008E0FBB"/>
    <w:rPr>
      <w:rFonts w:ascii="Arial" w:hAnsi="Arial"/>
      <w:sz w:val="20"/>
      <w:szCs w:val="20"/>
    </w:rPr>
  </w:style>
  <w:style w:type="character" w:styleId="FootnoteReference">
    <w:name w:val="footnote reference"/>
    <w:basedOn w:val="DefaultParagraphFont"/>
    <w:unhideWhenUsed/>
    <w:rsid w:val="008E0FBB"/>
    <w:rPr>
      <w:vertAlign w:val="superscript"/>
    </w:rPr>
  </w:style>
  <w:style w:type="table" w:styleId="GridTable4-Accent6">
    <w:name w:val="Grid Table 4 Accent 6"/>
    <w:basedOn w:val="TableNormal"/>
    <w:uiPriority w:val="49"/>
    <w:rsid w:val="00480D58"/>
    <w:tblPr>
      <w:tblStyleRowBandSize w:val="1"/>
      <w:tblStyleColBandSize w:val="1"/>
      <w:tblBorders>
        <w:top w:val="single" w:sz="4" w:space="0" w:color="9DF393" w:themeColor="accent6" w:themeTint="99"/>
        <w:left w:val="single" w:sz="4" w:space="0" w:color="9DF393" w:themeColor="accent6" w:themeTint="99"/>
        <w:bottom w:val="single" w:sz="4" w:space="0" w:color="9DF393" w:themeColor="accent6" w:themeTint="99"/>
        <w:right w:val="single" w:sz="4" w:space="0" w:color="9DF393" w:themeColor="accent6" w:themeTint="99"/>
        <w:insideH w:val="single" w:sz="4" w:space="0" w:color="9DF393" w:themeColor="accent6" w:themeTint="99"/>
        <w:insideV w:val="single" w:sz="4" w:space="0" w:color="9DF393" w:themeColor="accent6" w:themeTint="99"/>
      </w:tblBorders>
    </w:tblPr>
    <w:tblStylePr w:type="firstRow">
      <w:rPr>
        <w:b/>
        <w:bCs/>
        <w:color w:val="FFFFFF" w:themeColor="background1"/>
      </w:rPr>
      <w:tblPr/>
      <w:tcPr>
        <w:tcBorders>
          <w:top w:val="single" w:sz="4" w:space="0" w:color="5DEB4B" w:themeColor="accent6"/>
          <w:left w:val="single" w:sz="4" w:space="0" w:color="5DEB4B" w:themeColor="accent6"/>
          <w:bottom w:val="single" w:sz="4" w:space="0" w:color="5DEB4B" w:themeColor="accent6"/>
          <w:right w:val="single" w:sz="4" w:space="0" w:color="5DEB4B" w:themeColor="accent6"/>
          <w:insideH w:val="nil"/>
          <w:insideV w:val="nil"/>
        </w:tcBorders>
        <w:shd w:val="clear" w:color="auto" w:fill="5DEB4B" w:themeFill="accent6"/>
      </w:tcPr>
    </w:tblStylePr>
    <w:tblStylePr w:type="lastRow">
      <w:rPr>
        <w:b/>
        <w:bCs/>
      </w:rPr>
      <w:tblPr/>
      <w:tcPr>
        <w:tcBorders>
          <w:top w:val="double" w:sz="4" w:space="0" w:color="5DEB4B" w:themeColor="accent6"/>
        </w:tcBorders>
      </w:tcPr>
    </w:tblStylePr>
    <w:tblStylePr w:type="firstCol">
      <w:rPr>
        <w:b/>
        <w:bCs/>
      </w:rPr>
    </w:tblStylePr>
    <w:tblStylePr w:type="lastCol">
      <w:rPr>
        <w:b/>
        <w:bCs/>
      </w:rPr>
    </w:tblStylePr>
    <w:tblStylePr w:type="band1Vert">
      <w:tblPr/>
      <w:tcPr>
        <w:shd w:val="clear" w:color="auto" w:fill="DEFBDB" w:themeFill="accent6" w:themeFillTint="33"/>
      </w:tcPr>
    </w:tblStylePr>
    <w:tblStylePr w:type="band1Horz">
      <w:tblPr/>
      <w:tcPr>
        <w:shd w:val="clear" w:color="auto" w:fill="DEFBDB" w:themeFill="accent6" w:themeFillTint="33"/>
      </w:tcPr>
    </w:tblStylePr>
  </w:style>
  <w:style w:type="character" w:customStyle="1" w:styleId="ListParagraphChar">
    <w:name w:val="List Paragraph Char"/>
    <w:aliases w:val="RedR Bullet List Char,Dot pt Char,F5 List Paragraph Char,List Paragraph1 Char,No Spacing1 Char,List Paragraph Char Char Char Char,Indicator Text Char,Numbered Para 1 Char,Bullet 1 Char,List Paragraph12 Char,Bullet Points Char"/>
    <w:link w:val="ListParagraph"/>
    <w:uiPriority w:val="34"/>
    <w:qFormat/>
    <w:locked/>
    <w:rsid w:val="00AC74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658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ishcounci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EE98B74401040835CC33199F53ECF" ma:contentTypeVersion="12" ma:contentTypeDescription="Create a new document." ma:contentTypeScope="" ma:versionID="95fe62fe29c6ed3375861eaea5ea22c2">
  <xsd:schema xmlns:xsd="http://www.w3.org/2001/XMLSchema" xmlns:xs="http://www.w3.org/2001/XMLSchema" xmlns:p="http://schemas.microsoft.com/office/2006/metadata/properties" xmlns:ns3="f786c5e8-3319-444b-ab3e-7e86de64291f" xmlns:ns4="ee8d4629-6bc3-4a3a-bd81-b711e9008eae" targetNamespace="http://schemas.microsoft.com/office/2006/metadata/properties" ma:root="true" ma:fieldsID="f22f36c0f109c80fcc6fa750d83406b1" ns3:_="" ns4:_="">
    <xsd:import namespace="f786c5e8-3319-444b-ab3e-7e86de64291f"/>
    <xsd:import namespace="ee8d4629-6bc3-4a3a-bd81-b711e9008eae"/>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6c5e8-3319-444b-ab3e-7e86de64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d4629-6bc3-4a3a-bd81-b711e9008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9F0B4-551C-411D-8F9F-DA3173F09C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C5E95-5E23-4753-BF31-1B48189C94BC}">
  <ds:schemaRefs>
    <ds:schemaRef ds:uri="http://schemas.microsoft.com/sharepoint/v3/contenttype/forms"/>
  </ds:schemaRefs>
</ds:datastoreItem>
</file>

<file path=customXml/itemProps3.xml><?xml version="1.0" encoding="utf-8"?>
<ds:datastoreItem xmlns:ds="http://schemas.openxmlformats.org/officeDocument/2006/customXml" ds:itemID="{E548B198-B402-4FB4-B8D6-BE4B1C30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6c5e8-3319-444b-ab3e-7e86de64291f"/>
    <ds:schemaRef ds:uri="ee8d4629-6bc3-4a3a-bd81-b711e9008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4554D-9F42-4326-BA72-DF9B787B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1165</Words>
  <Characters>7736</Characters>
  <Application>Microsoft Office Word</Application>
  <DocSecurity>0</DocSecurity>
  <Lines>322</Lines>
  <Paragraphs>167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Kate (Australia)</dc:creator>
  <cp:keywords/>
  <dc:description/>
  <cp:lastModifiedBy>Peak, Michael (Education and Society)</cp:lastModifiedBy>
  <cp:revision>12</cp:revision>
  <cp:lastPrinted>2019-10-31T13:43:00Z</cp:lastPrinted>
  <dcterms:created xsi:type="dcterms:W3CDTF">2020-12-09T09:59:00Z</dcterms:created>
  <dcterms:modified xsi:type="dcterms:W3CDTF">2020-12-09T11:33:00Z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0x01010027CEE98B74401040835CC33199F53ECF</vt:lpwstr>
  </property>
</Properties>
</file>